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FFC69" w14:textId="77777777" w:rsidR="00A12797" w:rsidRPr="008713BB" w:rsidRDefault="00A12797">
      <w:pPr>
        <w:rPr>
          <w:rFonts w:cs="Arial"/>
        </w:rPr>
      </w:pPr>
    </w:p>
    <w:p w14:paraId="03231A6B" w14:textId="77777777" w:rsidR="00A12797" w:rsidRPr="00B022C8" w:rsidRDefault="00A12797">
      <w:pPr>
        <w:rPr>
          <w:rFonts w:cs="Arial"/>
          <w:sz w:val="20"/>
          <w:szCs w:val="20"/>
        </w:rPr>
      </w:pPr>
    </w:p>
    <w:p w14:paraId="74B93F47" w14:textId="77777777" w:rsidR="00A12797" w:rsidRPr="00B022C8" w:rsidRDefault="007C2CB3" w:rsidP="007C2CB3">
      <w:pPr>
        <w:rPr>
          <w:rFonts w:cs="Arial"/>
          <w:sz w:val="20"/>
          <w:szCs w:val="20"/>
        </w:rPr>
      </w:pPr>
      <w:r w:rsidRPr="00B022C8">
        <w:rPr>
          <w:rFonts w:cs="Arial"/>
          <w:sz w:val="20"/>
          <w:szCs w:val="20"/>
        </w:rPr>
        <w:tab/>
      </w:r>
      <w:r w:rsidRPr="00B022C8">
        <w:rPr>
          <w:rFonts w:cs="Arial"/>
          <w:sz w:val="20"/>
          <w:szCs w:val="20"/>
        </w:rPr>
        <w:tab/>
      </w:r>
      <w:r w:rsidRPr="00B022C8">
        <w:rPr>
          <w:rFonts w:cs="Arial"/>
          <w:sz w:val="20"/>
          <w:szCs w:val="20"/>
        </w:rPr>
        <w:tab/>
      </w:r>
      <w:r w:rsidRPr="00B022C8">
        <w:rPr>
          <w:rFonts w:cs="Arial"/>
          <w:sz w:val="20"/>
          <w:szCs w:val="20"/>
        </w:rPr>
        <w:tab/>
      </w:r>
      <w:r w:rsidRPr="00B022C8">
        <w:rPr>
          <w:rFonts w:cs="Arial"/>
          <w:sz w:val="20"/>
          <w:szCs w:val="20"/>
        </w:rPr>
        <w:tab/>
      </w:r>
      <w:r w:rsidRPr="00B022C8">
        <w:rPr>
          <w:rFonts w:cs="Arial"/>
          <w:sz w:val="20"/>
          <w:szCs w:val="20"/>
        </w:rPr>
        <w:tab/>
      </w:r>
      <w:r w:rsidRPr="00B022C8">
        <w:rPr>
          <w:rFonts w:cs="Arial"/>
          <w:sz w:val="20"/>
          <w:szCs w:val="20"/>
        </w:rPr>
        <w:tab/>
      </w:r>
      <w:r w:rsidRPr="00B022C8">
        <w:rPr>
          <w:rFonts w:cs="Arial"/>
          <w:sz w:val="20"/>
          <w:szCs w:val="20"/>
        </w:rPr>
        <w:tab/>
      </w:r>
      <w:r w:rsidRPr="00B022C8">
        <w:rPr>
          <w:rFonts w:cs="Arial"/>
          <w:sz w:val="20"/>
          <w:szCs w:val="20"/>
        </w:rPr>
        <w:tab/>
      </w:r>
      <w:r w:rsidRPr="00B022C8">
        <w:rPr>
          <w:rFonts w:cs="Arial"/>
          <w:sz w:val="20"/>
          <w:szCs w:val="20"/>
        </w:rPr>
        <w:tab/>
      </w:r>
    </w:p>
    <w:p w14:paraId="01BD80C8" w14:textId="77777777" w:rsidR="00B022C8" w:rsidRPr="00B022C8" w:rsidRDefault="00B022C8" w:rsidP="00B022C8">
      <w:pPr>
        <w:rPr>
          <w:sz w:val="20"/>
          <w:szCs w:val="20"/>
          <w:lang w:val="de-DE"/>
        </w:rPr>
      </w:pPr>
    </w:p>
    <w:p w14:paraId="162FD156" w14:textId="77777777" w:rsidR="00B022C8" w:rsidRPr="008E794A" w:rsidRDefault="00B022C8" w:rsidP="00B022C8">
      <w:pPr>
        <w:ind w:right="595"/>
        <w:rPr>
          <w:rFonts w:ascii="Calibri" w:hAnsi="Calibri" w:cs="Calibri"/>
          <w:b/>
          <w:bCs/>
          <w:color w:val="2E75B6"/>
          <w:sz w:val="28"/>
          <w:szCs w:val="28"/>
          <w:lang w:val="de-DE"/>
        </w:rPr>
      </w:pPr>
    </w:p>
    <w:p w14:paraId="69DD4100" w14:textId="3AE632AD" w:rsidR="00B022C8" w:rsidRPr="00A856B2" w:rsidRDefault="008E794A" w:rsidP="00A856B2">
      <w:pPr>
        <w:ind w:right="594"/>
        <w:jc w:val="center"/>
        <w:rPr>
          <w:rFonts w:asciiTheme="minorHAnsi" w:hAnsiTheme="minorHAnsi" w:cstheme="minorHAnsi"/>
          <w:b/>
          <w:bCs/>
          <w:color w:val="2E75B6"/>
          <w:sz w:val="32"/>
          <w:szCs w:val="32"/>
          <w:lang w:val="de-DE"/>
        </w:rPr>
      </w:pPr>
      <w:r w:rsidRPr="00A856B2">
        <w:rPr>
          <w:rFonts w:asciiTheme="minorHAnsi" w:hAnsiTheme="minorHAnsi" w:cstheme="minorHAnsi"/>
          <w:b/>
          <w:bCs/>
          <w:color w:val="2E75B6"/>
          <w:sz w:val="32"/>
          <w:szCs w:val="32"/>
          <w:lang w:val="de-DE"/>
        </w:rPr>
        <w:t>Synergien leben!</w:t>
      </w:r>
    </w:p>
    <w:p w14:paraId="68139BED" w14:textId="77777777" w:rsidR="00B022C8" w:rsidRPr="00A856B2" w:rsidRDefault="00B022C8" w:rsidP="00A856B2">
      <w:pPr>
        <w:ind w:right="594"/>
        <w:jc w:val="center"/>
        <w:rPr>
          <w:rFonts w:asciiTheme="minorHAnsi" w:hAnsiTheme="minorHAnsi" w:cstheme="minorHAnsi"/>
          <w:b/>
          <w:bCs/>
          <w:sz w:val="32"/>
          <w:szCs w:val="32"/>
          <w:lang w:val="de-DE"/>
        </w:rPr>
      </w:pPr>
      <w:r w:rsidRPr="00A856B2">
        <w:rPr>
          <w:rFonts w:asciiTheme="minorHAnsi" w:hAnsiTheme="minorHAnsi" w:cstheme="minorHAnsi"/>
          <w:b/>
          <w:bCs/>
          <w:color w:val="2E75B6"/>
          <w:sz w:val="32"/>
          <w:szCs w:val="32"/>
          <w:lang w:val="de-DE"/>
        </w:rPr>
        <w:t>EDM: Smart Specialisation Strategien – Synergien für regionale Kooperation</w:t>
      </w:r>
    </w:p>
    <w:p w14:paraId="77E187FE" w14:textId="77777777" w:rsidR="008E794A" w:rsidRPr="00EF045B" w:rsidRDefault="008E794A" w:rsidP="00B022C8">
      <w:pPr>
        <w:ind w:right="594"/>
        <w:rPr>
          <w:rFonts w:asciiTheme="minorHAnsi" w:hAnsiTheme="minorHAnsi" w:cstheme="minorHAnsi"/>
          <w:b/>
          <w:bCs/>
          <w:sz w:val="24"/>
          <w:lang w:val="de-DE"/>
        </w:rPr>
      </w:pPr>
    </w:p>
    <w:p w14:paraId="76A2547D" w14:textId="77777777" w:rsidR="0015796D" w:rsidRPr="00EF045B" w:rsidRDefault="0015796D" w:rsidP="00B022C8">
      <w:pPr>
        <w:ind w:right="595"/>
        <w:rPr>
          <w:rFonts w:asciiTheme="minorHAnsi" w:hAnsiTheme="minorHAnsi" w:cstheme="minorHAnsi"/>
          <w:b/>
          <w:bCs/>
          <w:sz w:val="24"/>
          <w:lang w:val="de-DE"/>
        </w:rPr>
      </w:pPr>
    </w:p>
    <w:p w14:paraId="5FC5DED6" w14:textId="77777777" w:rsidR="002171E9" w:rsidRDefault="002171E9" w:rsidP="00B022C8">
      <w:pPr>
        <w:rPr>
          <w:rFonts w:asciiTheme="minorHAnsi" w:hAnsiTheme="minorHAnsi" w:cstheme="minorHAnsi"/>
          <w:b/>
          <w:bCs/>
          <w:sz w:val="24"/>
          <w:lang w:val="de-DE"/>
        </w:rPr>
      </w:pPr>
    </w:p>
    <w:p w14:paraId="0307B73B" w14:textId="77777777" w:rsidR="002171E9" w:rsidRPr="002171E9" w:rsidRDefault="002171E9" w:rsidP="002171E9">
      <w:pPr>
        <w:rPr>
          <w:rFonts w:asciiTheme="minorHAnsi" w:hAnsiTheme="minorHAnsi" w:cstheme="minorHAnsi"/>
          <w:b/>
          <w:bCs/>
          <w:sz w:val="24"/>
          <w:lang w:val="de-DE"/>
        </w:rPr>
      </w:pPr>
      <w:r w:rsidRPr="002171E9">
        <w:rPr>
          <w:rFonts w:asciiTheme="minorHAnsi" w:hAnsiTheme="minorHAnsi" w:cstheme="minorHAnsi"/>
          <w:b/>
          <w:bCs/>
          <w:sz w:val="24"/>
          <w:lang w:val="de-DE"/>
        </w:rPr>
        <w:t>Am Dienstag 25. November 2014, folgten rund 70 Vertreter aus den Bereichen Forschung, Innovation und Wirtschaft der Einladung von Wirtschafts-Landesrat Dr. Michael Strugl zur Konferenz der Europaregion Donau-Moldau (EDM), die sich mit dem Thema „Smart Specialisation Strategien“‚ also Strategien zur intelligenten Spezialisierung‘, befassten.</w:t>
      </w:r>
    </w:p>
    <w:p w14:paraId="2FF27370" w14:textId="77777777" w:rsidR="002171E9" w:rsidRPr="00EF045B" w:rsidRDefault="002171E9" w:rsidP="00B022C8">
      <w:pPr>
        <w:rPr>
          <w:rFonts w:asciiTheme="minorHAnsi" w:hAnsiTheme="minorHAnsi" w:cstheme="minorHAnsi"/>
          <w:b/>
          <w:bCs/>
          <w:sz w:val="24"/>
          <w:lang w:val="de-DE"/>
        </w:rPr>
      </w:pPr>
    </w:p>
    <w:p w14:paraId="52269D8D" w14:textId="77777777" w:rsidR="00A97CD4" w:rsidRPr="00EF045B" w:rsidRDefault="00A97CD4" w:rsidP="00B022C8">
      <w:pPr>
        <w:rPr>
          <w:rFonts w:asciiTheme="minorHAnsi" w:hAnsiTheme="minorHAnsi" w:cstheme="minorHAnsi"/>
          <w:b/>
          <w:bCs/>
          <w:sz w:val="24"/>
          <w:lang w:val="de-DE"/>
        </w:rPr>
      </w:pPr>
    </w:p>
    <w:p w14:paraId="20104995" w14:textId="5C94C3C1" w:rsidR="00A97CD4" w:rsidRDefault="00A97CD4" w:rsidP="00B022C8">
      <w:pPr>
        <w:rPr>
          <w:rFonts w:asciiTheme="minorHAnsi" w:hAnsiTheme="minorHAnsi" w:cstheme="minorHAnsi"/>
          <w:bCs/>
          <w:sz w:val="24"/>
          <w:lang w:val="de-DE"/>
        </w:rPr>
      </w:pPr>
      <w:r w:rsidRPr="00EF045B">
        <w:rPr>
          <w:rFonts w:asciiTheme="minorHAnsi" w:hAnsiTheme="minorHAnsi" w:cstheme="minorHAnsi"/>
          <w:bCs/>
          <w:sz w:val="24"/>
          <w:lang w:val="de-DE"/>
        </w:rPr>
        <w:t>Die Fachveranstaltung wurde gemeinsam mit der Technologie- und Marketinggesellschaft, der Wirtschaftsagentur des Landes OÖ, welche die EDM-Wissensplattform „Unternehmenskooperationen und Cluster“ koordiniert,  organisiert.</w:t>
      </w:r>
    </w:p>
    <w:p w14:paraId="473ADB26" w14:textId="77777777" w:rsidR="00D22548" w:rsidRDefault="00D22548" w:rsidP="00B022C8">
      <w:pPr>
        <w:rPr>
          <w:rFonts w:asciiTheme="minorHAnsi" w:hAnsiTheme="minorHAnsi" w:cstheme="minorHAnsi"/>
          <w:bCs/>
          <w:sz w:val="24"/>
          <w:lang w:val="de-DE"/>
        </w:rPr>
      </w:pPr>
    </w:p>
    <w:p w14:paraId="7A431CC3" w14:textId="0D30EC08" w:rsidR="00D22548" w:rsidRPr="00AD5126" w:rsidRDefault="00D22548" w:rsidP="00D22548">
      <w:pPr>
        <w:ind w:right="595"/>
        <w:rPr>
          <w:rFonts w:asciiTheme="minorHAnsi" w:hAnsiTheme="minorHAnsi" w:cstheme="minorHAnsi"/>
          <w:bCs/>
          <w:i/>
          <w:strike/>
          <w:color w:val="FF0000"/>
          <w:sz w:val="24"/>
          <w:lang w:val="de-DE"/>
        </w:rPr>
      </w:pPr>
      <w:r w:rsidRPr="00B94344">
        <w:rPr>
          <w:rFonts w:asciiTheme="minorHAnsi" w:hAnsiTheme="minorHAnsi" w:cstheme="minorHAnsi"/>
          <w:bCs/>
          <w:sz w:val="24"/>
          <w:lang w:val="de-DE"/>
        </w:rPr>
        <w:t>„Es war an der Zeit, die Smart</w:t>
      </w:r>
      <w:r w:rsidR="00B94344">
        <w:rPr>
          <w:rFonts w:asciiTheme="minorHAnsi" w:hAnsiTheme="minorHAnsi" w:cstheme="minorHAnsi"/>
          <w:bCs/>
          <w:sz w:val="24"/>
          <w:lang w:val="de-DE"/>
        </w:rPr>
        <w:t xml:space="preserve"> Specialisation Strategien der sieben</w:t>
      </w:r>
      <w:r w:rsidRPr="00B94344">
        <w:rPr>
          <w:rFonts w:asciiTheme="minorHAnsi" w:hAnsiTheme="minorHAnsi" w:cstheme="minorHAnsi"/>
          <w:bCs/>
          <w:sz w:val="24"/>
          <w:lang w:val="de-DE"/>
        </w:rPr>
        <w:t xml:space="preserve"> </w:t>
      </w:r>
      <w:r w:rsidR="00136A3F">
        <w:rPr>
          <w:rFonts w:asciiTheme="minorHAnsi" w:hAnsiTheme="minorHAnsi" w:cstheme="minorHAnsi"/>
          <w:bCs/>
          <w:sz w:val="24"/>
          <w:lang w:val="de-DE"/>
        </w:rPr>
        <w:t>EDM- Regionen unter die Lupe zu</w:t>
      </w:r>
      <w:r w:rsidRPr="00B94344">
        <w:rPr>
          <w:rFonts w:asciiTheme="minorHAnsi" w:hAnsiTheme="minorHAnsi" w:cstheme="minorHAnsi"/>
          <w:bCs/>
          <w:sz w:val="24"/>
          <w:lang w:val="de-DE"/>
        </w:rPr>
        <w:t>nehmen</w:t>
      </w:r>
      <w:r w:rsidR="00B94344">
        <w:rPr>
          <w:rFonts w:asciiTheme="minorHAnsi" w:hAnsiTheme="minorHAnsi" w:cstheme="minorHAnsi"/>
          <w:bCs/>
          <w:sz w:val="24"/>
          <w:lang w:val="de-DE"/>
        </w:rPr>
        <w:t>,</w:t>
      </w:r>
      <w:r w:rsidRPr="00B94344">
        <w:rPr>
          <w:rFonts w:asciiTheme="minorHAnsi" w:hAnsiTheme="minorHAnsi" w:cstheme="minorHAnsi"/>
          <w:bCs/>
          <w:sz w:val="24"/>
          <w:lang w:val="de-DE"/>
        </w:rPr>
        <w:t xml:space="preserve"> um Potentiale sowie Synergien für die überregionale Zusammenarbeit zu erkennen</w:t>
      </w:r>
      <w:r w:rsidR="00B94344">
        <w:rPr>
          <w:rFonts w:asciiTheme="minorHAnsi" w:hAnsiTheme="minorHAnsi" w:cstheme="minorHAnsi"/>
          <w:bCs/>
          <w:sz w:val="24"/>
          <w:lang w:val="de-DE"/>
        </w:rPr>
        <w:t>“, sagt Wirtschaftslandesrat Strugl</w:t>
      </w:r>
      <w:r w:rsidR="00380818">
        <w:rPr>
          <w:rFonts w:asciiTheme="minorHAnsi" w:hAnsiTheme="minorHAnsi" w:cstheme="minorHAnsi"/>
          <w:bCs/>
          <w:sz w:val="24"/>
          <w:lang w:val="de-DE"/>
        </w:rPr>
        <w:t>.</w:t>
      </w:r>
      <w:bookmarkStart w:id="0" w:name="_GoBack"/>
      <w:bookmarkEnd w:id="0"/>
    </w:p>
    <w:p w14:paraId="37F62DAD" w14:textId="2A833C67" w:rsidR="00D22548" w:rsidRPr="00EF045B" w:rsidRDefault="00D22548" w:rsidP="00B022C8">
      <w:pPr>
        <w:rPr>
          <w:rFonts w:asciiTheme="minorHAnsi" w:hAnsiTheme="minorHAnsi" w:cstheme="minorHAnsi"/>
          <w:bCs/>
          <w:sz w:val="24"/>
          <w:lang w:val="de-DE"/>
        </w:rPr>
      </w:pPr>
    </w:p>
    <w:p w14:paraId="73BB48B6" w14:textId="77777777" w:rsidR="0015796D" w:rsidRPr="00EF045B" w:rsidRDefault="0015796D" w:rsidP="00B022C8">
      <w:pPr>
        <w:rPr>
          <w:rFonts w:asciiTheme="minorHAnsi" w:hAnsiTheme="minorHAnsi" w:cstheme="minorHAnsi"/>
          <w:b/>
          <w:bCs/>
          <w:sz w:val="24"/>
          <w:lang w:val="de-DE"/>
        </w:rPr>
      </w:pPr>
    </w:p>
    <w:p w14:paraId="05CE6CBF" w14:textId="5C974B08" w:rsidR="0015796D" w:rsidRPr="00EF045B" w:rsidRDefault="0015796D" w:rsidP="00B022C8">
      <w:pPr>
        <w:rPr>
          <w:rFonts w:asciiTheme="minorHAnsi" w:hAnsiTheme="minorHAnsi" w:cstheme="minorHAnsi"/>
          <w:b/>
          <w:color w:val="000000"/>
          <w:sz w:val="24"/>
          <w:lang w:val="de-DE"/>
        </w:rPr>
      </w:pPr>
      <w:r w:rsidRPr="00EF045B">
        <w:rPr>
          <w:rFonts w:asciiTheme="minorHAnsi" w:hAnsiTheme="minorHAnsi" w:cstheme="minorHAnsi"/>
          <w:b/>
          <w:bCs/>
          <w:sz w:val="24"/>
          <w:lang w:val="de-DE"/>
        </w:rPr>
        <w:t>Oberösterreich erarbeitete mit dem strategischen Wirtschafts- und Forschungspr</w:t>
      </w:r>
      <w:r w:rsidR="0010710F">
        <w:rPr>
          <w:rFonts w:asciiTheme="minorHAnsi" w:hAnsiTheme="minorHAnsi" w:cstheme="minorHAnsi"/>
          <w:b/>
          <w:bCs/>
          <w:sz w:val="24"/>
          <w:lang w:val="de-DE"/>
        </w:rPr>
        <w:t xml:space="preserve">ogramm ‚Innovatives OÖ2020‘ </w:t>
      </w:r>
      <w:r w:rsidR="0010710F" w:rsidRPr="00C15D67">
        <w:rPr>
          <w:rFonts w:asciiTheme="minorHAnsi" w:hAnsiTheme="minorHAnsi" w:cstheme="minorHAnsi"/>
          <w:b/>
          <w:bCs/>
          <w:sz w:val="24"/>
          <w:lang w:val="de-DE"/>
        </w:rPr>
        <w:t>seine</w:t>
      </w:r>
      <w:r w:rsidRPr="00EF045B">
        <w:rPr>
          <w:rFonts w:asciiTheme="minorHAnsi" w:hAnsiTheme="minorHAnsi" w:cstheme="minorHAnsi"/>
          <w:b/>
          <w:bCs/>
          <w:sz w:val="24"/>
          <w:lang w:val="de-DE"/>
        </w:rPr>
        <w:t xml:space="preserve"> Strategie zur intelligenten Spezialisierung. </w:t>
      </w:r>
      <w:r w:rsidR="00C65E0F" w:rsidRPr="00EF045B">
        <w:rPr>
          <w:rFonts w:asciiTheme="minorHAnsi" w:hAnsiTheme="minorHAnsi" w:cstheme="minorHAnsi"/>
          <w:b/>
          <w:bCs/>
          <w:sz w:val="24"/>
          <w:lang w:val="de-DE"/>
        </w:rPr>
        <w:t xml:space="preserve"> </w:t>
      </w:r>
      <w:r w:rsidR="00C65E0F" w:rsidRPr="00EF045B">
        <w:rPr>
          <w:rFonts w:asciiTheme="minorHAnsi" w:hAnsiTheme="minorHAnsi" w:cstheme="minorHAnsi"/>
          <w:color w:val="000000"/>
          <w:sz w:val="24"/>
          <w:lang w:val="de-DE"/>
        </w:rPr>
        <w:t xml:space="preserve">Sie ist </w:t>
      </w:r>
      <w:r w:rsidR="0010710F" w:rsidRPr="00C15D67">
        <w:rPr>
          <w:rFonts w:asciiTheme="minorHAnsi" w:hAnsiTheme="minorHAnsi" w:cstheme="minorHAnsi"/>
          <w:sz w:val="24"/>
          <w:lang w:val="de-DE"/>
        </w:rPr>
        <w:t>grundlegende Voraussetzung</w:t>
      </w:r>
      <w:r w:rsidR="0010710F">
        <w:rPr>
          <w:rFonts w:asciiTheme="minorHAnsi" w:hAnsiTheme="minorHAnsi" w:cstheme="minorHAnsi"/>
          <w:color w:val="000000"/>
          <w:sz w:val="24"/>
          <w:lang w:val="de-DE"/>
        </w:rPr>
        <w:t xml:space="preserve"> </w:t>
      </w:r>
      <w:r w:rsidR="00C65E0F" w:rsidRPr="00EF045B">
        <w:rPr>
          <w:rFonts w:asciiTheme="minorHAnsi" w:hAnsiTheme="minorHAnsi" w:cstheme="minorHAnsi"/>
          <w:color w:val="000000"/>
          <w:sz w:val="24"/>
          <w:lang w:val="de-DE"/>
        </w:rPr>
        <w:t xml:space="preserve">für die Zuerkennung von Strukturfonds-Förderungen 2014-2020 (ESIF) in der Förderpriorität Forschung und Innovation. </w:t>
      </w:r>
      <w:r w:rsidR="00C65E0F" w:rsidRPr="00EF045B">
        <w:rPr>
          <w:rFonts w:asciiTheme="minorHAnsi" w:hAnsiTheme="minorHAnsi" w:cstheme="minorHAnsi"/>
          <w:b/>
          <w:color w:val="000000"/>
          <w:sz w:val="24"/>
          <w:lang w:val="de-DE"/>
        </w:rPr>
        <w:t xml:space="preserve">Konkret: Jeder Mitgliedsstaat musste </w:t>
      </w:r>
      <w:r w:rsidR="00C65E0F" w:rsidRPr="00EF045B">
        <w:rPr>
          <w:rFonts w:asciiTheme="minorHAnsi" w:hAnsiTheme="minorHAnsi" w:cstheme="minorHAnsi"/>
          <w:b/>
          <w:sz w:val="24"/>
          <w:lang w:val="de-DE"/>
        </w:rPr>
        <w:t>in der</w:t>
      </w:r>
      <w:r w:rsidR="00C65E0F" w:rsidRPr="00EF045B">
        <w:rPr>
          <w:rFonts w:asciiTheme="minorHAnsi" w:hAnsiTheme="minorHAnsi" w:cstheme="minorHAnsi"/>
          <w:b/>
          <w:color w:val="000000"/>
          <w:sz w:val="24"/>
          <w:lang w:val="de-DE"/>
        </w:rPr>
        <w:t xml:space="preserve"> regionale</w:t>
      </w:r>
      <w:r w:rsidR="00C65E0F" w:rsidRPr="00EF045B">
        <w:rPr>
          <w:rFonts w:asciiTheme="minorHAnsi" w:hAnsiTheme="minorHAnsi" w:cstheme="minorHAnsi"/>
          <w:b/>
          <w:sz w:val="24"/>
          <w:lang w:val="de-DE"/>
        </w:rPr>
        <w:t>n</w:t>
      </w:r>
      <w:r w:rsidR="00C65E0F" w:rsidRPr="00EF045B">
        <w:rPr>
          <w:rFonts w:asciiTheme="minorHAnsi" w:hAnsiTheme="minorHAnsi" w:cstheme="minorHAnsi"/>
          <w:b/>
          <w:color w:val="000000"/>
          <w:sz w:val="24"/>
          <w:lang w:val="de-DE"/>
        </w:rPr>
        <w:t xml:space="preserve"> oder nationale</w:t>
      </w:r>
      <w:r w:rsidR="00C65E0F" w:rsidRPr="00EF045B">
        <w:rPr>
          <w:rFonts w:asciiTheme="minorHAnsi" w:hAnsiTheme="minorHAnsi" w:cstheme="minorHAnsi"/>
          <w:b/>
          <w:sz w:val="24"/>
          <w:lang w:val="de-DE"/>
        </w:rPr>
        <w:t>n</w:t>
      </w:r>
      <w:r w:rsidR="00C65E0F" w:rsidRPr="00EF045B">
        <w:rPr>
          <w:rFonts w:asciiTheme="minorHAnsi" w:hAnsiTheme="minorHAnsi" w:cstheme="minorHAnsi"/>
          <w:b/>
          <w:color w:val="000000"/>
          <w:sz w:val="24"/>
          <w:lang w:val="de-DE"/>
        </w:rPr>
        <w:t xml:space="preserve"> </w:t>
      </w:r>
      <w:r w:rsidR="00A97CD4" w:rsidRPr="00EF045B">
        <w:rPr>
          <w:rFonts w:asciiTheme="minorHAnsi" w:hAnsiTheme="minorHAnsi" w:cstheme="minorHAnsi"/>
          <w:b/>
          <w:color w:val="000000"/>
          <w:sz w:val="24"/>
          <w:lang w:val="de-DE"/>
        </w:rPr>
        <w:t xml:space="preserve">Smart Specialisation Strategie, </w:t>
      </w:r>
      <w:r w:rsidR="00C65E0F" w:rsidRPr="00EF045B">
        <w:rPr>
          <w:rFonts w:asciiTheme="minorHAnsi" w:hAnsiTheme="minorHAnsi" w:cstheme="minorHAnsi"/>
          <w:b/>
          <w:color w:val="000000"/>
          <w:sz w:val="24"/>
          <w:lang w:val="de-DE"/>
        </w:rPr>
        <w:t xml:space="preserve">seine </w:t>
      </w:r>
      <w:r w:rsidR="00C65E0F" w:rsidRPr="00EF045B">
        <w:rPr>
          <w:rFonts w:asciiTheme="minorHAnsi" w:hAnsiTheme="minorHAnsi" w:cstheme="minorHAnsi"/>
          <w:b/>
          <w:sz w:val="24"/>
          <w:lang w:val="de-DE"/>
        </w:rPr>
        <w:t>Forschungs- und Innovations-</w:t>
      </w:r>
      <w:r w:rsidR="00C65E0F" w:rsidRPr="00EF045B">
        <w:rPr>
          <w:rFonts w:asciiTheme="minorHAnsi" w:hAnsiTheme="minorHAnsi" w:cstheme="minorHAnsi"/>
          <w:b/>
          <w:color w:val="000000"/>
          <w:sz w:val="24"/>
          <w:lang w:val="de-DE"/>
        </w:rPr>
        <w:t>Förderanliegen zugrunde legen.</w:t>
      </w:r>
      <w:r w:rsidR="00AA38B4">
        <w:rPr>
          <w:rFonts w:asciiTheme="minorHAnsi" w:hAnsiTheme="minorHAnsi" w:cstheme="minorHAnsi"/>
          <w:b/>
          <w:color w:val="000000"/>
          <w:sz w:val="24"/>
          <w:lang w:val="de-DE"/>
        </w:rPr>
        <w:t xml:space="preserve"> </w:t>
      </w:r>
      <w:r w:rsidR="00620011">
        <w:rPr>
          <w:rFonts w:asciiTheme="minorHAnsi" w:hAnsiTheme="minorHAnsi" w:cstheme="minorHAnsi"/>
          <w:color w:val="000000"/>
          <w:sz w:val="24"/>
          <w:lang w:val="de-DE"/>
        </w:rPr>
        <w:t>U</w:t>
      </w:r>
      <w:r w:rsidR="00620011" w:rsidRPr="00620011">
        <w:rPr>
          <w:rFonts w:asciiTheme="minorHAnsi" w:hAnsiTheme="minorHAnsi" w:cstheme="minorHAnsi"/>
          <w:color w:val="000000"/>
          <w:sz w:val="24"/>
          <w:lang w:val="de-DE"/>
        </w:rPr>
        <w:t>m die EU-Mitgliedsstaaten auf regionaler und nationaler Ebene bei der Entwicklung</w:t>
      </w:r>
      <w:r w:rsidR="00620011">
        <w:rPr>
          <w:rFonts w:asciiTheme="minorHAnsi" w:hAnsiTheme="minorHAnsi" w:cstheme="minorHAnsi"/>
          <w:color w:val="000000"/>
          <w:sz w:val="24"/>
          <w:lang w:val="de-DE"/>
        </w:rPr>
        <w:t xml:space="preserve"> und Umsetzung</w:t>
      </w:r>
      <w:r w:rsidR="00620011" w:rsidRPr="00620011">
        <w:rPr>
          <w:rFonts w:asciiTheme="minorHAnsi" w:hAnsiTheme="minorHAnsi" w:cstheme="minorHAnsi"/>
          <w:color w:val="000000"/>
          <w:sz w:val="24"/>
          <w:lang w:val="de-DE"/>
        </w:rPr>
        <w:t xml:space="preserve"> der Strategie zu unterstützen</w:t>
      </w:r>
      <w:r w:rsidR="00620011">
        <w:rPr>
          <w:rFonts w:asciiTheme="minorHAnsi" w:hAnsiTheme="minorHAnsi" w:cstheme="minorHAnsi"/>
          <w:color w:val="000000"/>
          <w:sz w:val="24"/>
          <w:lang w:val="de-DE"/>
        </w:rPr>
        <w:t>, wurde eigens von</w:t>
      </w:r>
      <w:r w:rsidR="00620011" w:rsidRPr="00620011">
        <w:rPr>
          <w:rFonts w:asciiTheme="minorHAnsi" w:hAnsiTheme="minorHAnsi" w:cstheme="minorHAnsi"/>
          <w:color w:val="000000"/>
          <w:sz w:val="24"/>
          <w:lang w:val="de-DE"/>
        </w:rPr>
        <w:t xml:space="preserve"> der Europäischen Kommission 2011</w:t>
      </w:r>
      <w:r w:rsidR="00620011">
        <w:rPr>
          <w:rFonts w:asciiTheme="minorHAnsi" w:hAnsiTheme="minorHAnsi" w:cstheme="minorHAnsi"/>
          <w:color w:val="000000"/>
          <w:sz w:val="24"/>
          <w:lang w:val="de-DE"/>
        </w:rPr>
        <w:t xml:space="preserve"> die </w:t>
      </w:r>
      <w:r w:rsidR="00620011" w:rsidRPr="00620011">
        <w:rPr>
          <w:rFonts w:asciiTheme="minorHAnsi" w:hAnsiTheme="minorHAnsi" w:cstheme="minorHAnsi"/>
          <w:color w:val="000000"/>
          <w:sz w:val="24"/>
          <w:lang w:val="de-DE"/>
        </w:rPr>
        <w:t>‚Smart Specialisation Platform‘ in Sevilla/ES eingerichtet</w:t>
      </w:r>
      <w:r w:rsidR="00620011">
        <w:rPr>
          <w:rFonts w:asciiTheme="minorHAnsi" w:hAnsiTheme="minorHAnsi" w:cstheme="minorHAnsi"/>
          <w:color w:val="000000"/>
          <w:sz w:val="24"/>
          <w:lang w:val="de-DE"/>
        </w:rPr>
        <w:t xml:space="preserve">. Über die Aktivitäten und mögliche Unterstützung dieser Plattform </w:t>
      </w:r>
      <w:r w:rsidR="00B80BC0">
        <w:rPr>
          <w:rFonts w:asciiTheme="minorHAnsi" w:hAnsiTheme="minorHAnsi" w:cstheme="minorHAnsi"/>
          <w:color w:val="000000"/>
          <w:sz w:val="24"/>
          <w:lang w:val="de-DE"/>
        </w:rPr>
        <w:t>berichtete Frau Iris Reingruber (TMG OÖ).</w:t>
      </w:r>
    </w:p>
    <w:p w14:paraId="49CB09A0" w14:textId="77777777" w:rsidR="00C65E0F" w:rsidRPr="00EF045B" w:rsidRDefault="00C65E0F" w:rsidP="00C65E0F">
      <w:pPr>
        <w:ind w:right="595"/>
        <w:rPr>
          <w:rFonts w:asciiTheme="minorHAnsi" w:hAnsiTheme="minorHAnsi" w:cstheme="minorHAnsi"/>
          <w:b/>
          <w:bCs/>
          <w:color w:val="000000"/>
          <w:sz w:val="24"/>
          <w:lang w:val="de-DE"/>
        </w:rPr>
      </w:pPr>
    </w:p>
    <w:p w14:paraId="7E68B67E" w14:textId="4F169A78" w:rsidR="00C65E0F" w:rsidRDefault="00B80BC0" w:rsidP="00B022C8">
      <w:pPr>
        <w:rPr>
          <w:rFonts w:asciiTheme="minorHAnsi" w:hAnsiTheme="minorHAnsi" w:cstheme="minorHAnsi"/>
          <w:color w:val="000000"/>
          <w:sz w:val="24"/>
          <w:lang w:val="de-DE"/>
        </w:rPr>
      </w:pPr>
      <w:r>
        <w:rPr>
          <w:rFonts w:asciiTheme="minorHAnsi" w:hAnsiTheme="minorHAnsi" w:cstheme="minorHAnsi"/>
          <w:color w:val="000000"/>
          <w:sz w:val="24"/>
          <w:lang w:val="de-DE"/>
        </w:rPr>
        <w:t xml:space="preserve">Dr. Günther Knötig (Amt der OÖ. Landesregierung, Abt. Raumordnung) eröffnete die Konferenz mit einem Überblick über die 2012 gegründete Europaregion Donau-Moldau. </w:t>
      </w:r>
      <w:r w:rsidRPr="00581CEE">
        <w:rPr>
          <w:rFonts w:asciiTheme="minorHAnsi" w:hAnsiTheme="minorHAnsi" w:cstheme="minorHAnsi"/>
          <w:b/>
          <w:color w:val="000000"/>
          <w:sz w:val="24"/>
          <w:lang w:val="de-DE"/>
        </w:rPr>
        <w:t>„Synergien leben</w:t>
      </w:r>
      <w:r w:rsidR="00581CEE">
        <w:rPr>
          <w:rFonts w:asciiTheme="minorHAnsi" w:hAnsiTheme="minorHAnsi" w:cstheme="minorHAnsi"/>
          <w:b/>
          <w:color w:val="000000"/>
          <w:sz w:val="24"/>
          <w:lang w:val="de-DE"/>
        </w:rPr>
        <w:t>!</w:t>
      </w:r>
      <w:r w:rsidRPr="00581CEE">
        <w:rPr>
          <w:rFonts w:asciiTheme="minorHAnsi" w:hAnsiTheme="minorHAnsi" w:cstheme="minorHAnsi"/>
          <w:b/>
          <w:color w:val="000000"/>
          <w:sz w:val="24"/>
          <w:lang w:val="de-DE"/>
        </w:rPr>
        <w:t xml:space="preserve">“ </w:t>
      </w:r>
      <w:r w:rsidR="00581CEE">
        <w:rPr>
          <w:rFonts w:asciiTheme="minorHAnsi" w:hAnsiTheme="minorHAnsi" w:cstheme="minorHAnsi"/>
          <w:color w:val="000000"/>
          <w:sz w:val="24"/>
          <w:lang w:val="de-DE"/>
        </w:rPr>
        <w:t>das ermöglicht die Arbeitsgemeinschaft der EDM, die nicht auf Luft gebaut wurde, sondern auf einer fundierten Potentialanalyse mit der Frage, wo können wir an die maßgebliche Strategien wie „Europa 2020“ und globalen Trends anschließen,</w:t>
      </w:r>
      <w:r w:rsidR="00581CEE" w:rsidRPr="00581CEE">
        <w:rPr>
          <w:rFonts w:asciiTheme="minorHAnsi" w:hAnsiTheme="minorHAnsi" w:cstheme="minorHAnsi"/>
          <w:color w:val="000000"/>
          <w:sz w:val="24"/>
          <w:lang w:val="de-DE"/>
        </w:rPr>
        <w:t xml:space="preserve"> </w:t>
      </w:r>
      <w:r w:rsidR="00581CEE">
        <w:rPr>
          <w:rFonts w:asciiTheme="minorHAnsi" w:hAnsiTheme="minorHAnsi" w:cstheme="minorHAnsi"/>
          <w:color w:val="000000"/>
          <w:sz w:val="24"/>
          <w:lang w:val="de-DE"/>
        </w:rPr>
        <w:t>betonte Dr. Knötig,</w:t>
      </w:r>
    </w:p>
    <w:p w14:paraId="176CD51D" w14:textId="77777777" w:rsidR="00581CEE" w:rsidRPr="00EF045B" w:rsidRDefault="00581CEE" w:rsidP="00B022C8">
      <w:pPr>
        <w:rPr>
          <w:rFonts w:asciiTheme="minorHAnsi" w:hAnsiTheme="minorHAnsi" w:cstheme="minorHAnsi"/>
          <w:color w:val="000000"/>
          <w:sz w:val="24"/>
          <w:lang w:val="de-DE"/>
        </w:rPr>
      </w:pPr>
    </w:p>
    <w:p w14:paraId="13572DC6" w14:textId="44B11846" w:rsidR="005B7356" w:rsidRDefault="005B7356" w:rsidP="00EF045B">
      <w:pPr>
        <w:ind w:right="595"/>
        <w:rPr>
          <w:rFonts w:asciiTheme="minorHAnsi" w:hAnsiTheme="minorHAnsi" w:cstheme="minorHAnsi"/>
          <w:bCs/>
          <w:sz w:val="24"/>
          <w:lang w:val="de-DE"/>
        </w:rPr>
      </w:pPr>
      <w:r>
        <w:rPr>
          <w:rFonts w:asciiTheme="minorHAnsi" w:hAnsiTheme="minorHAnsi" w:cstheme="minorHAnsi"/>
          <w:bCs/>
          <w:sz w:val="24"/>
          <w:lang w:val="de-DE"/>
        </w:rPr>
        <w:t>Im</w:t>
      </w:r>
      <w:r w:rsidR="00EF045B">
        <w:rPr>
          <w:rFonts w:asciiTheme="minorHAnsi" w:hAnsiTheme="minorHAnsi" w:cstheme="minorHAnsi"/>
          <w:bCs/>
          <w:sz w:val="24"/>
          <w:lang w:val="de-DE"/>
        </w:rPr>
        <w:t xml:space="preserve"> Impulsreferat von Dr. Thomas Stahlecker (Fraunhofer-Institut für System- und Innovationsforschung, Karlsruhe/DE) über die Perspektiven grenzüberschreitender Zusammenarbeit  in Europa </w:t>
      </w:r>
      <w:r w:rsidR="00034C7D">
        <w:rPr>
          <w:rFonts w:asciiTheme="minorHAnsi" w:hAnsiTheme="minorHAnsi" w:cstheme="minorHAnsi"/>
          <w:bCs/>
          <w:sz w:val="24"/>
          <w:lang w:val="de-DE"/>
        </w:rPr>
        <w:t xml:space="preserve">wurde u.a. </w:t>
      </w:r>
      <w:r w:rsidR="00DB2EAB">
        <w:rPr>
          <w:rFonts w:asciiTheme="minorHAnsi" w:hAnsiTheme="minorHAnsi" w:cstheme="minorHAnsi"/>
          <w:bCs/>
          <w:sz w:val="24"/>
          <w:lang w:val="de-DE"/>
        </w:rPr>
        <w:t xml:space="preserve">besonders </w:t>
      </w:r>
      <w:r w:rsidR="00034C7D">
        <w:rPr>
          <w:rFonts w:asciiTheme="minorHAnsi" w:hAnsiTheme="minorHAnsi" w:cstheme="minorHAnsi"/>
          <w:bCs/>
          <w:sz w:val="24"/>
          <w:lang w:val="de-DE"/>
        </w:rPr>
        <w:t>die Chance</w:t>
      </w:r>
      <w:r w:rsidR="00DB2EAB">
        <w:rPr>
          <w:rFonts w:asciiTheme="minorHAnsi" w:hAnsiTheme="minorHAnsi" w:cstheme="minorHAnsi"/>
          <w:bCs/>
          <w:sz w:val="24"/>
          <w:lang w:val="de-DE"/>
        </w:rPr>
        <w:t xml:space="preserve"> hervorgehoben, das </w:t>
      </w:r>
      <w:r w:rsidR="00034C7D">
        <w:rPr>
          <w:rFonts w:asciiTheme="minorHAnsi" w:hAnsiTheme="minorHAnsi" w:cstheme="minorHAnsi"/>
          <w:bCs/>
          <w:sz w:val="24"/>
          <w:lang w:val="de-DE"/>
        </w:rPr>
        <w:t>oftmal</w:t>
      </w:r>
      <w:r w:rsidR="00DB2EAB">
        <w:rPr>
          <w:rFonts w:asciiTheme="minorHAnsi" w:hAnsiTheme="minorHAnsi" w:cstheme="minorHAnsi"/>
          <w:bCs/>
          <w:sz w:val="24"/>
          <w:lang w:val="de-DE"/>
        </w:rPr>
        <w:t>ige Enden der</w:t>
      </w:r>
      <w:r w:rsidR="00034C7D">
        <w:rPr>
          <w:rFonts w:asciiTheme="minorHAnsi" w:hAnsiTheme="minorHAnsi" w:cstheme="minorHAnsi"/>
          <w:bCs/>
          <w:sz w:val="24"/>
          <w:lang w:val="de-DE"/>
        </w:rPr>
        <w:t xml:space="preserve"> Forschungs- und Innovationssysteme </w:t>
      </w:r>
      <w:r w:rsidR="00DB2EAB">
        <w:rPr>
          <w:rFonts w:asciiTheme="minorHAnsi" w:hAnsiTheme="minorHAnsi" w:cstheme="minorHAnsi"/>
          <w:bCs/>
          <w:sz w:val="24"/>
          <w:lang w:val="de-DE"/>
        </w:rPr>
        <w:t xml:space="preserve">an den Landesgrenzen </w:t>
      </w:r>
      <w:r w:rsidR="00034C7D">
        <w:rPr>
          <w:rFonts w:asciiTheme="minorHAnsi" w:hAnsiTheme="minorHAnsi" w:cstheme="minorHAnsi"/>
          <w:bCs/>
          <w:sz w:val="24"/>
          <w:lang w:val="de-DE"/>
        </w:rPr>
        <w:t>durch die Öffnung des regionalen Innovationsprozesses</w:t>
      </w:r>
      <w:r w:rsidR="00DB2EAB">
        <w:rPr>
          <w:rFonts w:asciiTheme="minorHAnsi" w:hAnsiTheme="minorHAnsi" w:cstheme="minorHAnsi"/>
          <w:bCs/>
          <w:sz w:val="24"/>
          <w:lang w:val="de-DE"/>
        </w:rPr>
        <w:t xml:space="preserve"> zu vermeiden.</w:t>
      </w:r>
    </w:p>
    <w:p w14:paraId="64F260AC" w14:textId="77777777" w:rsidR="005B7356" w:rsidRDefault="005B7356" w:rsidP="00EF045B">
      <w:pPr>
        <w:ind w:right="595"/>
        <w:rPr>
          <w:rFonts w:asciiTheme="minorHAnsi" w:hAnsiTheme="minorHAnsi" w:cstheme="minorHAnsi"/>
          <w:bCs/>
          <w:sz w:val="24"/>
          <w:lang w:val="de-DE"/>
        </w:rPr>
      </w:pPr>
    </w:p>
    <w:p w14:paraId="2BCB8456" w14:textId="77777777" w:rsidR="00C634D2" w:rsidRDefault="00C634D2" w:rsidP="00EF045B">
      <w:pPr>
        <w:ind w:right="595"/>
        <w:rPr>
          <w:rFonts w:asciiTheme="minorHAnsi" w:hAnsiTheme="minorHAnsi" w:cstheme="minorHAnsi"/>
          <w:bCs/>
          <w:sz w:val="24"/>
          <w:lang w:val="de-DE"/>
        </w:rPr>
      </w:pPr>
    </w:p>
    <w:p w14:paraId="39A0AB76" w14:textId="77777777" w:rsidR="00C634D2" w:rsidRDefault="00C634D2" w:rsidP="00EF045B">
      <w:pPr>
        <w:ind w:right="595"/>
        <w:rPr>
          <w:rFonts w:asciiTheme="minorHAnsi" w:hAnsiTheme="minorHAnsi" w:cstheme="minorHAnsi"/>
          <w:bCs/>
          <w:sz w:val="24"/>
          <w:lang w:val="de-DE"/>
        </w:rPr>
      </w:pPr>
    </w:p>
    <w:p w14:paraId="63DEAE00" w14:textId="77777777" w:rsidR="00C634D2" w:rsidRDefault="00C634D2" w:rsidP="00EF045B">
      <w:pPr>
        <w:ind w:right="595"/>
        <w:rPr>
          <w:rFonts w:asciiTheme="minorHAnsi" w:hAnsiTheme="minorHAnsi" w:cstheme="minorHAnsi"/>
          <w:bCs/>
          <w:sz w:val="24"/>
          <w:lang w:val="de-DE"/>
        </w:rPr>
      </w:pPr>
    </w:p>
    <w:p w14:paraId="014A02E2" w14:textId="77777777" w:rsidR="0019414C" w:rsidRDefault="00DB2EAB" w:rsidP="00EF045B">
      <w:pPr>
        <w:ind w:right="595"/>
        <w:rPr>
          <w:rFonts w:asciiTheme="minorHAnsi" w:hAnsiTheme="minorHAnsi" w:cstheme="minorHAnsi"/>
          <w:bCs/>
          <w:sz w:val="24"/>
          <w:lang w:val="de-DE"/>
        </w:rPr>
      </w:pPr>
      <w:r>
        <w:rPr>
          <w:rFonts w:asciiTheme="minorHAnsi" w:hAnsiTheme="minorHAnsi" w:cstheme="minorHAnsi"/>
          <w:bCs/>
          <w:sz w:val="24"/>
          <w:lang w:val="de-DE"/>
        </w:rPr>
        <w:t>„Grenzenlos denken, grenzüberschreitend handeln“ ist das Konzept der Zukunftsstrategie EMR2020 der Euregio Maas-Rhein</w:t>
      </w:r>
      <w:r w:rsidR="0019414C">
        <w:rPr>
          <w:rFonts w:asciiTheme="minorHAnsi" w:hAnsiTheme="minorHAnsi" w:cstheme="minorHAnsi"/>
          <w:bCs/>
          <w:sz w:val="24"/>
          <w:lang w:val="de-DE"/>
        </w:rPr>
        <w:t xml:space="preserve">, welche den Teilnehmern von </w:t>
      </w:r>
      <w:r w:rsidR="00EF045B">
        <w:rPr>
          <w:rFonts w:asciiTheme="minorHAnsi" w:hAnsiTheme="minorHAnsi" w:cstheme="minorHAnsi"/>
          <w:bCs/>
          <w:sz w:val="24"/>
          <w:lang w:val="de-DE"/>
        </w:rPr>
        <w:t xml:space="preserve">Dr. Björn </w:t>
      </w:r>
      <w:r w:rsidR="005B7356">
        <w:rPr>
          <w:rFonts w:asciiTheme="minorHAnsi" w:hAnsiTheme="minorHAnsi" w:cstheme="minorHAnsi"/>
          <w:bCs/>
          <w:sz w:val="24"/>
          <w:lang w:val="de-DE"/>
        </w:rPr>
        <w:t xml:space="preserve">Koopmans, Koordinator der 1976 gegründeten Euregio Maas-Rhein, </w:t>
      </w:r>
      <w:r w:rsidR="0019414C">
        <w:rPr>
          <w:rFonts w:asciiTheme="minorHAnsi" w:hAnsiTheme="minorHAnsi" w:cstheme="minorHAnsi"/>
          <w:bCs/>
          <w:sz w:val="24"/>
          <w:lang w:val="de-DE"/>
        </w:rPr>
        <w:t xml:space="preserve">vorgestellt wurde. </w:t>
      </w:r>
      <w:r w:rsidR="00EF045B">
        <w:rPr>
          <w:rFonts w:asciiTheme="minorHAnsi" w:hAnsiTheme="minorHAnsi" w:cstheme="minorHAnsi"/>
          <w:bCs/>
          <w:sz w:val="24"/>
          <w:lang w:val="de-DE"/>
        </w:rPr>
        <w:t xml:space="preserve"> </w:t>
      </w:r>
      <w:r w:rsidR="00EF045B" w:rsidRPr="00EF045B">
        <w:rPr>
          <w:rFonts w:asciiTheme="minorHAnsi" w:hAnsiTheme="minorHAnsi" w:cstheme="minorHAnsi"/>
          <w:bCs/>
          <w:sz w:val="24"/>
          <w:lang w:val="de-DE"/>
        </w:rPr>
        <w:t xml:space="preserve"> </w:t>
      </w:r>
    </w:p>
    <w:p w14:paraId="0AAA6D1D" w14:textId="77777777" w:rsidR="0019414C" w:rsidRDefault="0019414C" w:rsidP="00EF045B">
      <w:pPr>
        <w:ind w:right="595"/>
        <w:rPr>
          <w:rFonts w:asciiTheme="minorHAnsi" w:hAnsiTheme="minorHAnsi" w:cstheme="minorHAnsi"/>
          <w:bCs/>
          <w:sz w:val="24"/>
          <w:lang w:val="de-DE"/>
        </w:rPr>
      </w:pPr>
    </w:p>
    <w:p w14:paraId="790BC77E" w14:textId="181D29A9" w:rsidR="00BE1931" w:rsidRPr="006D72C7" w:rsidRDefault="00BE1931" w:rsidP="00BE1931">
      <w:pPr>
        <w:pStyle w:val="Listenabsatz"/>
        <w:ind w:left="0"/>
        <w:rPr>
          <w:rFonts w:asciiTheme="minorHAnsi" w:hAnsiTheme="minorHAnsi" w:cstheme="minorHAnsi"/>
          <w:bCs/>
          <w:snapToGrid/>
          <w:szCs w:val="24"/>
          <w:lang w:val="de-DE" w:eastAsia="de-AT"/>
        </w:rPr>
      </w:pPr>
      <w:r w:rsidRPr="006D72C7">
        <w:rPr>
          <w:rFonts w:asciiTheme="minorHAnsi" w:hAnsiTheme="minorHAnsi" w:cstheme="minorHAnsi"/>
          <w:b/>
          <w:bCs/>
          <w:snapToGrid/>
          <w:szCs w:val="24"/>
          <w:lang w:val="de-DE" w:eastAsia="de-AT"/>
        </w:rPr>
        <w:t>Best Practices</w:t>
      </w:r>
      <w:r w:rsidRPr="006D72C7">
        <w:rPr>
          <w:rFonts w:asciiTheme="minorHAnsi" w:hAnsiTheme="minorHAnsi" w:cstheme="minorHAnsi"/>
          <w:bCs/>
          <w:snapToGrid/>
          <w:szCs w:val="24"/>
          <w:lang w:val="de-DE" w:eastAsia="de-AT"/>
        </w:rPr>
        <w:t xml:space="preserve"> der einzelnen Forschungs- und Innovationsstrategien zur intelligenten Spezialisierung a</w:t>
      </w:r>
      <w:r w:rsidR="006D72C7">
        <w:rPr>
          <w:rFonts w:asciiTheme="minorHAnsi" w:hAnsiTheme="minorHAnsi" w:cstheme="minorHAnsi"/>
          <w:bCs/>
          <w:snapToGrid/>
          <w:szCs w:val="24"/>
          <w:lang w:val="de-DE" w:eastAsia="de-AT"/>
        </w:rPr>
        <w:t xml:space="preserve">us </w:t>
      </w:r>
      <w:r w:rsidRPr="006D72C7">
        <w:rPr>
          <w:rFonts w:asciiTheme="minorHAnsi" w:hAnsiTheme="minorHAnsi" w:cstheme="minorHAnsi"/>
          <w:bCs/>
          <w:snapToGrid/>
          <w:szCs w:val="24"/>
          <w:lang w:val="de-DE" w:eastAsia="de-AT"/>
        </w:rPr>
        <w:t>lle</w:t>
      </w:r>
      <w:r w:rsidR="006D72C7">
        <w:rPr>
          <w:rFonts w:asciiTheme="minorHAnsi" w:hAnsiTheme="minorHAnsi" w:cstheme="minorHAnsi"/>
          <w:bCs/>
          <w:snapToGrid/>
          <w:szCs w:val="24"/>
          <w:lang w:val="de-DE" w:eastAsia="de-AT"/>
        </w:rPr>
        <w:t>n</w:t>
      </w:r>
      <w:r w:rsidRPr="006D72C7">
        <w:rPr>
          <w:rFonts w:asciiTheme="minorHAnsi" w:hAnsiTheme="minorHAnsi" w:cstheme="minorHAnsi"/>
          <w:bCs/>
          <w:snapToGrid/>
          <w:szCs w:val="24"/>
          <w:lang w:val="de-DE" w:eastAsia="de-AT"/>
        </w:rPr>
        <w:t xml:space="preserve"> 7 EDM-Regionen wurden präsentiert von: Ing. Michaela Novotna (JAIP–Agentur zur Förderung innovativer Unternehmen) aus Süd-Böhmen, Ing. Martin Holubec (BIC Pilsen) aus Pilsen, Ing. Stanislava Lemperová (Kreisamt Vysočina, Abteilung für Regionalentwicklung) aus Vysocina, Dr. Thomas Stahlecker (ISI Fraunhofer) für Bayern, Mag. Simone Hagenauer (ecoplus. Die Wirtschaftsagentur des Landes NÖ) aus Niederösterreich und DI Christoph Brandstätter </w:t>
      </w:r>
      <w:r w:rsidR="006D72C7" w:rsidRPr="006D72C7">
        <w:rPr>
          <w:rFonts w:asciiTheme="minorHAnsi" w:hAnsiTheme="minorHAnsi" w:cstheme="minorHAnsi"/>
          <w:bCs/>
          <w:snapToGrid/>
          <w:szCs w:val="24"/>
          <w:lang w:val="de-DE" w:eastAsia="de-AT"/>
        </w:rPr>
        <w:t xml:space="preserve">von </w:t>
      </w:r>
      <w:r w:rsidRPr="006D72C7">
        <w:rPr>
          <w:rFonts w:asciiTheme="minorHAnsi" w:hAnsiTheme="minorHAnsi" w:cstheme="minorHAnsi"/>
          <w:bCs/>
          <w:snapToGrid/>
          <w:szCs w:val="24"/>
          <w:lang w:val="de-DE" w:eastAsia="de-AT"/>
        </w:rPr>
        <w:t>TMG Oberösterreich</w:t>
      </w:r>
      <w:r w:rsidR="006D72C7" w:rsidRPr="006D72C7">
        <w:rPr>
          <w:rFonts w:asciiTheme="minorHAnsi" w:hAnsiTheme="minorHAnsi" w:cstheme="minorHAnsi"/>
          <w:bCs/>
          <w:snapToGrid/>
          <w:szCs w:val="24"/>
          <w:lang w:val="de-DE" w:eastAsia="de-AT"/>
        </w:rPr>
        <w:t>.</w:t>
      </w:r>
    </w:p>
    <w:p w14:paraId="741C7495" w14:textId="77777777" w:rsidR="00BE1931" w:rsidRPr="00BE1931" w:rsidRDefault="00BE1931" w:rsidP="00BE1931">
      <w:pPr>
        <w:rPr>
          <w:rFonts w:cs="Arial"/>
          <w:b/>
          <w:szCs w:val="22"/>
          <w:lang w:val="de-AT"/>
        </w:rPr>
      </w:pPr>
    </w:p>
    <w:p w14:paraId="49118F8C" w14:textId="70EBFE2E" w:rsidR="00A856B2" w:rsidRDefault="006D72C7" w:rsidP="00A856B2">
      <w:pPr>
        <w:ind w:right="595"/>
        <w:rPr>
          <w:rFonts w:asciiTheme="minorHAnsi" w:hAnsiTheme="minorHAnsi" w:cstheme="minorHAnsi"/>
          <w:bCs/>
          <w:sz w:val="24"/>
          <w:lang w:val="de-DE"/>
        </w:rPr>
      </w:pPr>
      <w:r>
        <w:rPr>
          <w:rFonts w:asciiTheme="minorHAnsi" w:hAnsiTheme="minorHAnsi" w:cstheme="minorHAnsi"/>
          <w:bCs/>
          <w:sz w:val="24"/>
          <w:lang w:val="de-DE"/>
        </w:rPr>
        <w:t xml:space="preserve">Im Anschluss daran konnte Dr. Günter Scheer (ÖAR Regionalberatung GmbH, Wien) einen </w:t>
      </w:r>
      <w:r w:rsidR="00EF045B" w:rsidRPr="00EF045B">
        <w:rPr>
          <w:rFonts w:asciiTheme="minorHAnsi" w:hAnsiTheme="minorHAnsi" w:cstheme="minorHAnsi"/>
          <w:bCs/>
          <w:sz w:val="24"/>
          <w:lang w:val="de-DE"/>
        </w:rPr>
        <w:t>bereits im Vorfeld erarb</w:t>
      </w:r>
      <w:r>
        <w:rPr>
          <w:rFonts w:asciiTheme="minorHAnsi" w:hAnsiTheme="minorHAnsi" w:cstheme="minorHAnsi"/>
          <w:bCs/>
          <w:sz w:val="24"/>
          <w:lang w:val="de-DE"/>
        </w:rPr>
        <w:t xml:space="preserve">eiteten Überblick über die einzelnen </w:t>
      </w:r>
      <w:r w:rsidR="00EF045B" w:rsidRPr="00EF045B">
        <w:rPr>
          <w:rFonts w:asciiTheme="minorHAnsi" w:hAnsiTheme="minorHAnsi" w:cstheme="minorHAnsi"/>
          <w:bCs/>
          <w:sz w:val="24"/>
          <w:lang w:val="de-DE"/>
        </w:rPr>
        <w:t>Strategien in der EDM geben. Der Fokus l</w:t>
      </w:r>
      <w:r>
        <w:rPr>
          <w:rFonts w:asciiTheme="minorHAnsi" w:hAnsiTheme="minorHAnsi" w:cstheme="minorHAnsi"/>
          <w:bCs/>
          <w:sz w:val="24"/>
          <w:lang w:val="de-DE"/>
        </w:rPr>
        <w:t>ag</w:t>
      </w:r>
      <w:r w:rsidR="00EF045B" w:rsidRPr="00EF045B">
        <w:rPr>
          <w:rFonts w:asciiTheme="minorHAnsi" w:hAnsiTheme="minorHAnsi" w:cstheme="minorHAnsi"/>
          <w:bCs/>
          <w:sz w:val="24"/>
          <w:lang w:val="de-DE"/>
        </w:rPr>
        <w:t xml:space="preserve"> auf </w:t>
      </w:r>
      <w:r w:rsidR="002171E9" w:rsidRPr="00EF045B">
        <w:rPr>
          <w:rFonts w:asciiTheme="minorHAnsi" w:hAnsiTheme="minorHAnsi" w:cstheme="minorHAnsi"/>
          <w:bCs/>
          <w:sz w:val="24"/>
          <w:lang w:val="de-DE"/>
        </w:rPr>
        <w:t>möglichen Inhalten</w:t>
      </w:r>
      <w:r w:rsidR="00EF045B" w:rsidRPr="00EF045B">
        <w:rPr>
          <w:rFonts w:asciiTheme="minorHAnsi" w:hAnsiTheme="minorHAnsi" w:cstheme="minorHAnsi"/>
          <w:bCs/>
          <w:sz w:val="24"/>
          <w:lang w:val="de-DE"/>
        </w:rPr>
        <w:t>, die auf einer übergeordneten Ebene</w:t>
      </w:r>
      <w:r w:rsidR="00A856B2">
        <w:rPr>
          <w:rFonts w:asciiTheme="minorHAnsi" w:hAnsiTheme="minorHAnsi" w:cstheme="minorHAnsi"/>
          <w:bCs/>
          <w:sz w:val="24"/>
          <w:lang w:val="de-DE"/>
        </w:rPr>
        <w:t xml:space="preserve">, </w:t>
      </w:r>
      <w:r w:rsidR="00EF045B" w:rsidRPr="00EF045B">
        <w:rPr>
          <w:rFonts w:asciiTheme="minorHAnsi" w:hAnsiTheme="minorHAnsi" w:cstheme="minorHAnsi"/>
          <w:bCs/>
          <w:sz w:val="24"/>
          <w:lang w:val="de-DE"/>
        </w:rPr>
        <w:t>die der EDM</w:t>
      </w:r>
      <w:r w:rsidR="00A856B2">
        <w:rPr>
          <w:rFonts w:asciiTheme="minorHAnsi" w:hAnsiTheme="minorHAnsi" w:cstheme="minorHAnsi"/>
          <w:bCs/>
          <w:sz w:val="24"/>
          <w:lang w:val="de-DE"/>
        </w:rPr>
        <w:t>,</w:t>
      </w:r>
      <w:r w:rsidR="00EF045B" w:rsidRPr="00EF045B">
        <w:rPr>
          <w:rFonts w:asciiTheme="minorHAnsi" w:hAnsiTheme="minorHAnsi" w:cstheme="minorHAnsi"/>
          <w:bCs/>
          <w:sz w:val="24"/>
          <w:lang w:val="de-DE"/>
        </w:rPr>
        <w:t xml:space="preserve"> bearbeitet werden könnten</w:t>
      </w:r>
      <w:r w:rsidR="00A856B2">
        <w:rPr>
          <w:rFonts w:asciiTheme="minorHAnsi" w:hAnsiTheme="minorHAnsi" w:cstheme="minorHAnsi"/>
          <w:bCs/>
          <w:sz w:val="24"/>
          <w:lang w:val="de-DE"/>
        </w:rPr>
        <w:t>.</w:t>
      </w:r>
      <w:r w:rsidR="00EF045B" w:rsidRPr="00EF045B">
        <w:rPr>
          <w:rFonts w:asciiTheme="minorHAnsi" w:hAnsiTheme="minorHAnsi" w:cstheme="minorHAnsi"/>
          <w:bCs/>
          <w:sz w:val="24"/>
          <w:lang w:val="de-DE"/>
        </w:rPr>
        <w:t xml:space="preserve"> </w:t>
      </w:r>
      <w:r w:rsidR="00A856B2">
        <w:rPr>
          <w:rFonts w:asciiTheme="minorHAnsi" w:hAnsiTheme="minorHAnsi" w:cstheme="minorHAnsi"/>
          <w:bCs/>
          <w:sz w:val="24"/>
          <w:lang w:val="de-DE"/>
        </w:rPr>
        <w:t>W</w:t>
      </w:r>
      <w:r w:rsidR="00EF045B" w:rsidRPr="00EF045B">
        <w:rPr>
          <w:rFonts w:asciiTheme="minorHAnsi" w:hAnsiTheme="minorHAnsi" w:cstheme="minorHAnsi"/>
          <w:bCs/>
          <w:sz w:val="24"/>
          <w:lang w:val="de-DE"/>
        </w:rPr>
        <w:t>o sind Gemeinsamkeiten, gleiche Intere</w:t>
      </w:r>
      <w:r w:rsidR="00A856B2">
        <w:rPr>
          <w:rFonts w:asciiTheme="minorHAnsi" w:hAnsiTheme="minorHAnsi" w:cstheme="minorHAnsi"/>
          <w:bCs/>
          <w:sz w:val="24"/>
          <w:lang w:val="de-DE"/>
        </w:rPr>
        <w:t>ssen aber auch sich ergänzende und wo</w:t>
      </w:r>
      <w:r w:rsidR="00EF045B" w:rsidRPr="00EF045B">
        <w:rPr>
          <w:rFonts w:asciiTheme="minorHAnsi" w:hAnsiTheme="minorHAnsi" w:cstheme="minorHAnsi"/>
          <w:bCs/>
          <w:sz w:val="24"/>
          <w:lang w:val="de-DE"/>
        </w:rPr>
        <w:t xml:space="preserve"> gäbe es </w:t>
      </w:r>
      <w:r w:rsidR="00EF045B" w:rsidRPr="00A856B2">
        <w:rPr>
          <w:rFonts w:asciiTheme="minorHAnsi" w:hAnsiTheme="minorHAnsi" w:cstheme="minorHAnsi"/>
          <w:b/>
          <w:bCs/>
          <w:sz w:val="24"/>
          <w:lang w:val="de-DE"/>
        </w:rPr>
        <w:t xml:space="preserve">Anknüpfungspunkte </w:t>
      </w:r>
      <w:r w:rsidR="00A856B2" w:rsidRPr="00A856B2">
        <w:rPr>
          <w:rFonts w:asciiTheme="minorHAnsi" w:hAnsiTheme="minorHAnsi" w:cstheme="minorHAnsi"/>
          <w:b/>
          <w:bCs/>
          <w:sz w:val="24"/>
          <w:lang w:val="de-DE"/>
        </w:rPr>
        <w:t xml:space="preserve">für die </w:t>
      </w:r>
      <w:r w:rsidR="00EF045B" w:rsidRPr="00A856B2">
        <w:rPr>
          <w:rFonts w:asciiTheme="minorHAnsi" w:hAnsiTheme="minorHAnsi" w:cstheme="minorHAnsi"/>
          <w:b/>
          <w:bCs/>
          <w:sz w:val="24"/>
          <w:lang w:val="de-DE"/>
        </w:rPr>
        <w:t>EDM</w:t>
      </w:r>
      <w:r w:rsidR="00A856B2" w:rsidRPr="00A856B2">
        <w:rPr>
          <w:rFonts w:asciiTheme="minorHAnsi" w:hAnsiTheme="minorHAnsi" w:cstheme="minorHAnsi"/>
          <w:b/>
          <w:bCs/>
          <w:sz w:val="24"/>
          <w:lang w:val="de-DE"/>
        </w:rPr>
        <w:t>.</w:t>
      </w:r>
      <w:r w:rsidR="00A856B2">
        <w:rPr>
          <w:rFonts w:asciiTheme="minorHAnsi" w:hAnsiTheme="minorHAnsi" w:cstheme="minorHAnsi"/>
          <w:bCs/>
          <w:sz w:val="24"/>
          <w:lang w:val="de-DE"/>
        </w:rPr>
        <w:t xml:space="preserve"> </w:t>
      </w:r>
    </w:p>
    <w:p w14:paraId="0176F904" w14:textId="77777777" w:rsidR="00A856B2" w:rsidRDefault="00A856B2" w:rsidP="00A856B2">
      <w:pPr>
        <w:ind w:right="595"/>
        <w:rPr>
          <w:rFonts w:asciiTheme="minorHAnsi" w:hAnsiTheme="minorHAnsi" w:cstheme="minorHAnsi"/>
          <w:bCs/>
          <w:sz w:val="24"/>
          <w:lang w:val="de-DE"/>
        </w:rPr>
      </w:pPr>
    </w:p>
    <w:p w14:paraId="60C2F885" w14:textId="6D2BD01A" w:rsidR="00A856B2" w:rsidRDefault="00A856B2" w:rsidP="00A856B2">
      <w:pPr>
        <w:ind w:right="595"/>
        <w:rPr>
          <w:rFonts w:asciiTheme="minorHAnsi" w:hAnsiTheme="minorHAnsi" w:cstheme="minorHAnsi"/>
          <w:bCs/>
          <w:sz w:val="24"/>
          <w:lang w:val="de-DE"/>
        </w:rPr>
      </w:pPr>
      <w:r>
        <w:rPr>
          <w:rFonts w:asciiTheme="minorHAnsi" w:hAnsiTheme="minorHAnsi" w:cstheme="minorHAnsi"/>
          <w:bCs/>
          <w:sz w:val="24"/>
          <w:lang w:val="de-DE"/>
        </w:rPr>
        <w:t xml:space="preserve">In der abschließenden Podiumsdiskussion </w:t>
      </w:r>
      <w:r w:rsidR="00845348">
        <w:rPr>
          <w:rFonts w:asciiTheme="minorHAnsi" w:hAnsiTheme="minorHAnsi" w:cstheme="minorHAnsi"/>
          <w:bCs/>
          <w:sz w:val="24"/>
          <w:lang w:val="de-DE"/>
        </w:rPr>
        <w:t xml:space="preserve">spürte man </w:t>
      </w:r>
      <w:r>
        <w:rPr>
          <w:rFonts w:asciiTheme="minorHAnsi" w:hAnsiTheme="minorHAnsi" w:cstheme="minorHAnsi"/>
          <w:bCs/>
          <w:sz w:val="24"/>
          <w:lang w:val="de-DE"/>
        </w:rPr>
        <w:t>trotz unterschiedlicher Her</w:t>
      </w:r>
      <w:r w:rsidR="002D63F1">
        <w:rPr>
          <w:rFonts w:asciiTheme="minorHAnsi" w:hAnsiTheme="minorHAnsi" w:cstheme="minorHAnsi"/>
          <w:bCs/>
          <w:sz w:val="24"/>
          <w:lang w:val="de-DE"/>
        </w:rPr>
        <w:t xml:space="preserve">angehensweisen, Struktur und Inhalte </w:t>
      </w:r>
      <w:r w:rsidR="00845348">
        <w:rPr>
          <w:rFonts w:asciiTheme="minorHAnsi" w:hAnsiTheme="minorHAnsi" w:cstheme="minorHAnsi"/>
          <w:bCs/>
          <w:sz w:val="24"/>
          <w:lang w:val="de-DE"/>
        </w:rPr>
        <w:t xml:space="preserve">der Strategien eindeutig </w:t>
      </w:r>
      <w:r w:rsidR="002D63F1">
        <w:rPr>
          <w:rFonts w:asciiTheme="minorHAnsi" w:hAnsiTheme="minorHAnsi" w:cstheme="minorHAnsi"/>
          <w:bCs/>
          <w:sz w:val="24"/>
          <w:lang w:val="de-DE"/>
        </w:rPr>
        <w:t xml:space="preserve">eine </w:t>
      </w:r>
      <w:r w:rsidR="002D63F1" w:rsidRPr="002D63F1">
        <w:rPr>
          <w:rFonts w:asciiTheme="minorHAnsi" w:hAnsiTheme="minorHAnsi" w:cstheme="minorHAnsi"/>
          <w:b/>
          <w:bCs/>
          <w:sz w:val="24"/>
          <w:lang w:val="de-DE"/>
        </w:rPr>
        <w:t>„gemeinsame Aufbruchsstimmung“</w:t>
      </w:r>
      <w:r w:rsidR="002D63F1">
        <w:rPr>
          <w:rFonts w:asciiTheme="minorHAnsi" w:hAnsiTheme="minorHAnsi" w:cstheme="minorHAnsi"/>
          <w:bCs/>
          <w:sz w:val="24"/>
          <w:lang w:val="de-DE"/>
        </w:rPr>
        <w:t xml:space="preserve"> für das kommende Jahr 2015 mit Vorschlägen zur Kooperation auf methodischer Ebene sowie auf Ebene horizontaler und sektoraler Schwerpunkte. </w:t>
      </w:r>
    </w:p>
    <w:p w14:paraId="1E43AB43" w14:textId="77777777" w:rsidR="003B4352" w:rsidRDefault="003B4352" w:rsidP="00A856B2">
      <w:pPr>
        <w:ind w:right="595"/>
        <w:rPr>
          <w:rFonts w:asciiTheme="minorHAnsi" w:hAnsiTheme="minorHAnsi" w:cstheme="minorHAnsi"/>
          <w:bCs/>
          <w:sz w:val="24"/>
          <w:lang w:val="de-DE"/>
        </w:rPr>
      </w:pPr>
    </w:p>
    <w:p w14:paraId="232EBB9B" w14:textId="77777777" w:rsidR="00845348" w:rsidRDefault="00845348" w:rsidP="00A856B2">
      <w:pPr>
        <w:ind w:right="595"/>
        <w:rPr>
          <w:rFonts w:asciiTheme="minorHAnsi" w:hAnsiTheme="minorHAnsi" w:cstheme="minorHAnsi"/>
          <w:bCs/>
          <w:sz w:val="24"/>
          <w:lang w:val="de-DE"/>
        </w:rPr>
      </w:pPr>
    </w:p>
    <w:p w14:paraId="232BAF79" w14:textId="5DF77698" w:rsidR="00845348" w:rsidRDefault="00845348" w:rsidP="00A856B2">
      <w:pPr>
        <w:ind w:right="595"/>
        <w:rPr>
          <w:rFonts w:asciiTheme="minorHAnsi" w:hAnsiTheme="minorHAnsi" w:cstheme="minorHAnsi"/>
          <w:bCs/>
          <w:sz w:val="24"/>
          <w:lang w:val="de-DE"/>
        </w:rPr>
      </w:pPr>
      <w:r>
        <w:rPr>
          <w:rFonts w:asciiTheme="minorHAnsi" w:hAnsiTheme="minorHAnsi" w:cstheme="minorHAnsi"/>
          <w:bCs/>
          <w:sz w:val="24"/>
          <w:lang w:val="de-DE"/>
        </w:rPr>
        <w:t>_____________________________________________________________________________</w:t>
      </w:r>
    </w:p>
    <w:p w14:paraId="4C3BB74A" w14:textId="77777777" w:rsidR="00A856B2" w:rsidRDefault="00A856B2" w:rsidP="00A856B2">
      <w:pPr>
        <w:ind w:right="595"/>
        <w:rPr>
          <w:rFonts w:asciiTheme="minorHAnsi" w:hAnsiTheme="minorHAnsi" w:cstheme="minorHAnsi"/>
          <w:bCs/>
          <w:sz w:val="24"/>
          <w:lang w:val="de-DE"/>
        </w:rPr>
      </w:pPr>
    </w:p>
    <w:p w14:paraId="798D838D" w14:textId="2C6D343E" w:rsidR="00845348" w:rsidRDefault="00845348" w:rsidP="00A856B2">
      <w:pPr>
        <w:ind w:right="595"/>
        <w:rPr>
          <w:rFonts w:asciiTheme="minorHAnsi" w:hAnsiTheme="minorHAnsi" w:cstheme="minorHAnsi"/>
          <w:b/>
          <w:bCs/>
          <w:color w:val="0070C0"/>
          <w:sz w:val="24"/>
          <w:lang w:val="de-DE"/>
        </w:rPr>
      </w:pPr>
      <w:r>
        <w:rPr>
          <w:rFonts w:asciiTheme="minorHAnsi" w:hAnsiTheme="minorHAnsi" w:cstheme="minorHAnsi"/>
          <w:b/>
          <w:bCs/>
          <w:color w:val="0070C0"/>
          <w:sz w:val="24"/>
          <w:lang w:val="de-DE"/>
        </w:rPr>
        <w:t>Zusätzliche Hintergrundinfo:</w:t>
      </w:r>
    </w:p>
    <w:p w14:paraId="44FCAC5D" w14:textId="77777777" w:rsidR="00845348" w:rsidRDefault="00845348" w:rsidP="00A856B2">
      <w:pPr>
        <w:ind w:right="595"/>
        <w:rPr>
          <w:rFonts w:asciiTheme="minorHAnsi" w:hAnsiTheme="minorHAnsi" w:cstheme="minorHAnsi"/>
          <w:b/>
          <w:bCs/>
          <w:color w:val="0070C0"/>
          <w:sz w:val="24"/>
          <w:lang w:val="de-DE"/>
        </w:rPr>
      </w:pPr>
    </w:p>
    <w:p w14:paraId="2C6944E1" w14:textId="41BCC24E" w:rsidR="00B022C8" w:rsidRPr="00EF045B" w:rsidRDefault="00B022C8" w:rsidP="00A856B2">
      <w:pPr>
        <w:ind w:right="595"/>
        <w:rPr>
          <w:rFonts w:asciiTheme="minorHAnsi" w:hAnsiTheme="minorHAnsi" w:cstheme="minorHAnsi"/>
          <w:b/>
          <w:bCs/>
          <w:color w:val="0070C0"/>
          <w:sz w:val="24"/>
          <w:lang w:val="de-DE"/>
        </w:rPr>
      </w:pPr>
      <w:r w:rsidRPr="00EF045B">
        <w:rPr>
          <w:rFonts w:asciiTheme="minorHAnsi" w:hAnsiTheme="minorHAnsi" w:cstheme="minorHAnsi"/>
          <w:b/>
          <w:bCs/>
          <w:color w:val="0070C0"/>
          <w:sz w:val="24"/>
          <w:lang w:val="de-DE"/>
        </w:rPr>
        <w:t>Ziel der Konferenz:</w:t>
      </w:r>
    </w:p>
    <w:p w14:paraId="5D843CE2" w14:textId="77777777" w:rsidR="00B022C8" w:rsidRPr="00EF045B" w:rsidRDefault="00B022C8" w:rsidP="00B022C8">
      <w:pPr>
        <w:numPr>
          <w:ilvl w:val="0"/>
          <w:numId w:val="11"/>
        </w:numPr>
        <w:ind w:right="595"/>
        <w:rPr>
          <w:rFonts w:asciiTheme="minorHAnsi" w:hAnsiTheme="minorHAnsi" w:cstheme="minorHAnsi"/>
          <w:sz w:val="24"/>
          <w:lang w:val="de-DE"/>
        </w:rPr>
      </w:pPr>
      <w:r w:rsidRPr="00EF045B">
        <w:rPr>
          <w:rFonts w:asciiTheme="minorHAnsi" w:hAnsiTheme="minorHAnsi" w:cstheme="minorHAnsi"/>
          <w:sz w:val="24"/>
          <w:lang w:val="de-DE"/>
        </w:rPr>
        <w:t>Information über die strategischen Schwerpunkte der regionalen Smart Specialisation Strategien (RIS3) in der EDM;</w:t>
      </w:r>
    </w:p>
    <w:p w14:paraId="35209F71" w14:textId="77777777" w:rsidR="00B022C8" w:rsidRPr="00EF045B" w:rsidRDefault="00B022C8" w:rsidP="00B022C8">
      <w:pPr>
        <w:numPr>
          <w:ilvl w:val="0"/>
          <w:numId w:val="11"/>
        </w:numPr>
        <w:ind w:right="595"/>
        <w:rPr>
          <w:rFonts w:asciiTheme="minorHAnsi" w:hAnsiTheme="minorHAnsi" w:cstheme="minorHAnsi"/>
          <w:sz w:val="24"/>
          <w:lang w:val="de-DE"/>
        </w:rPr>
      </w:pPr>
      <w:r w:rsidRPr="00EF045B">
        <w:rPr>
          <w:rFonts w:asciiTheme="minorHAnsi" w:hAnsiTheme="minorHAnsi" w:cstheme="minorHAnsi"/>
          <w:sz w:val="24"/>
          <w:lang w:val="de-DE"/>
        </w:rPr>
        <w:t xml:space="preserve">Knowledge-Exchange zwischen Europäischer Kommission, Best-Practice Region und EDM-Regionen; </w:t>
      </w:r>
    </w:p>
    <w:p w14:paraId="3F9176C3" w14:textId="77777777" w:rsidR="00B022C8" w:rsidRPr="00EF045B" w:rsidRDefault="00B022C8" w:rsidP="00B022C8">
      <w:pPr>
        <w:numPr>
          <w:ilvl w:val="0"/>
          <w:numId w:val="11"/>
        </w:numPr>
        <w:ind w:right="595"/>
        <w:rPr>
          <w:rFonts w:asciiTheme="minorHAnsi" w:hAnsiTheme="minorHAnsi" w:cstheme="minorHAnsi"/>
          <w:sz w:val="24"/>
          <w:lang w:val="de-DE"/>
        </w:rPr>
      </w:pPr>
      <w:r w:rsidRPr="00EF045B">
        <w:rPr>
          <w:rFonts w:asciiTheme="minorHAnsi" w:hAnsiTheme="minorHAnsi" w:cstheme="minorHAnsi"/>
          <w:sz w:val="24"/>
          <w:lang w:val="de-DE"/>
        </w:rPr>
        <w:t>Erfahrungsaustausch in Bezug auf Umsetzung und Monitoring von RIS3;</w:t>
      </w:r>
    </w:p>
    <w:p w14:paraId="4A85DFF8" w14:textId="77777777" w:rsidR="00B022C8" w:rsidRPr="00EF045B" w:rsidRDefault="00B022C8" w:rsidP="00B022C8">
      <w:pPr>
        <w:numPr>
          <w:ilvl w:val="0"/>
          <w:numId w:val="11"/>
        </w:numPr>
        <w:ind w:right="595"/>
        <w:rPr>
          <w:rFonts w:asciiTheme="minorHAnsi" w:hAnsiTheme="minorHAnsi" w:cstheme="minorHAnsi"/>
          <w:sz w:val="24"/>
          <w:lang w:val="de-DE"/>
        </w:rPr>
      </w:pPr>
      <w:r w:rsidRPr="00EF045B">
        <w:rPr>
          <w:rFonts w:asciiTheme="minorHAnsi" w:hAnsiTheme="minorHAnsi" w:cstheme="minorHAnsi"/>
          <w:sz w:val="24"/>
          <w:lang w:val="de-DE"/>
        </w:rPr>
        <w:t>Die Rolle der Cluster in den RIS3</w:t>
      </w:r>
    </w:p>
    <w:p w14:paraId="0CEE11BA" w14:textId="77777777" w:rsidR="00B022C8" w:rsidRPr="00EF045B" w:rsidRDefault="00B022C8" w:rsidP="00B022C8">
      <w:pPr>
        <w:numPr>
          <w:ilvl w:val="0"/>
          <w:numId w:val="11"/>
        </w:numPr>
        <w:ind w:right="595"/>
        <w:rPr>
          <w:rFonts w:asciiTheme="minorHAnsi" w:hAnsiTheme="minorHAnsi" w:cstheme="minorHAnsi"/>
          <w:sz w:val="24"/>
          <w:lang w:val="de-DE"/>
        </w:rPr>
      </w:pPr>
      <w:r w:rsidRPr="00EF045B">
        <w:rPr>
          <w:rFonts w:asciiTheme="minorHAnsi" w:hAnsiTheme="minorHAnsi" w:cstheme="minorHAnsi"/>
          <w:sz w:val="24"/>
          <w:lang w:val="de-DE"/>
        </w:rPr>
        <w:t>Wo sind grenzübergreifende Kooperationen verankert, welche (Förder-)Instrumente gibt es zur Umsetzung;</w:t>
      </w:r>
    </w:p>
    <w:p w14:paraId="242ABDE0" w14:textId="77777777" w:rsidR="00B022C8" w:rsidRPr="00EF045B" w:rsidRDefault="00B022C8" w:rsidP="00B022C8">
      <w:pPr>
        <w:numPr>
          <w:ilvl w:val="0"/>
          <w:numId w:val="11"/>
        </w:numPr>
        <w:ind w:right="595"/>
        <w:rPr>
          <w:rFonts w:asciiTheme="minorHAnsi" w:hAnsiTheme="minorHAnsi" w:cstheme="minorHAnsi"/>
          <w:sz w:val="24"/>
          <w:lang w:val="de-DE"/>
        </w:rPr>
      </w:pPr>
      <w:r w:rsidRPr="00EF045B">
        <w:rPr>
          <w:rFonts w:asciiTheme="minorHAnsi" w:hAnsiTheme="minorHAnsi" w:cstheme="minorHAnsi"/>
          <w:sz w:val="24"/>
          <w:lang w:val="de-DE"/>
        </w:rPr>
        <w:t>EDM Struktur als Unterstützung für die Umsetzung der RIS3;</w:t>
      </w:r>
    </w:p>
    <w:p w14:paraId="16C301C9" w14:textId="77777777" w:rsidR="00B022C8" w:rsidRPr="00EF045B" w:rsidRDefault="00B022C8" w:rsidP="00B022C8">
      <w:pPr>
        <w:ind w:left="12" w:right="595"/>
        <w:rPr>
          <w:rFonts w:asciiTheme="minorHAnsi" w:hAnsiTheme="minorHAnsi" w:cstheme="minorHAnsi"/>
          <w:sz w:val="24"/>
          <w:lang w:val="de-DE"/>
        </w:rPr>
      </w:pPr>
    </w:p>
    <w:p w14:paraId="6B4B45F4" w14:textId="77777777" w:rsidR="00B022C8" w:rsidRPr="00EF045B" w:rsidRDefault="00B022C8" w:rsidP="00B022C8">
      <w:pPr>
        <w:ind w:right="595"/>
        <w:rPr>
          <w:rFonts w:asciiTheme="minorHAnsi" w:hAnsiTheme="minorHAnsi" w:cstheme="minorHAnsi"/>
          <w:b/>
          <w:bCs/>
          <w:color w:val="000000"/>
          <w:sz w:val="24"/>
          <w:lang w:val="de-DE"/>
        </w:rPr>
      </w:pPr>
    </w:p>
    <w:p w14:paraId="41C786CB" w14:textId="77777777" w:rsidR="00B022C8" w:rsidRPr="00EF045B" w:rsidRDefault="00B022C8" w:rsidP="00B022C8">
      <w:pPr>
        <w:ind w:right="595"/>
        <w:rPr>
          <w:rFonts w:asciiTheme="minorHAnsi" w:hAnsiTheme="minorHAnsi" w:cstheme="minorHAnsi"/>
          <w:b/>
          <w:bCs/>
          <w:color w:val="0070C0"/>
          <w:sz w:val="24"/>
          <w:lang w:val="de-DE"/>
        </w:rPr>
      </w:pPr>
      <w:r w:rsidRPr="00EF045B">
        <w:rPr>
          <w:rFonts w:asciiTheme="minorHAnsi" w:hAnsiTheme="minorHAnsi" w:cstheme="minorHAnsi"/>
          <w:b/>
          <w:bCs/>
          <w:color w:val="0070C0"/>
          <w:sz w:val="24"/>
          <w:lang w:val="de-DE"/>
        </w:rPr>
        <w:t>Smart Specialisation Strategien:</w:t>
      </w:r>
    </w:p>
    <w:p w14:paraId="77836178" w14:textId="77777777" w:rsidR="00C5347E" w:rsidRDefault="00B022C8" w:rsidP="00B022C8">
      <w:pPr>
        <w:ind w:right="595"/>
        <w:rPr>
          <w:rFonts w:asciiTheme="minorHAnsi" w:hAnsiTheme="minorHAnsi" w:cstheme="minorHAnsi"/>
          <w:color w:val="000000"/>
          <w:sz w:val="24"/>
          <w:lang w:val="de-DE"/>
        </w:rPr>
      </w:pPr>
      <w:r w:rsidRPr="00EF045B">
        <w:rPr>
          <w:rFonts w:asciiTheme="minorHAnsi" w:hAnsiTheme="minorHAnsi" w:cstheme="minorHAnsi"/>
          <w:color w:val="000000"/>
          <w:sz w:val="24"/>
          <w:lang w:val="de-DE"/>
        </w:rPr>
        <w:t>Die regionalen Smart Specialisation Strategien (S</w:t>
      </w:r>
      <w:r w:rsidRPr="00EF045B">
        <w:rPr>
          <w:rFonts w:asciiTheme="minorHAnsi" w:hAnsiTheme="minorHAnsi" w:cstheme="minorHAnsi"/>
          <w:sz w:val="24"/>
          <w:lang w:val="de-DE"/>
        </w:rPr>
        <w:t>3</w:t>
      </w:r>
      <w:r w:rsidRPr="00EF045B">
        <w:rPr>
          <w:rFonts w:asciiTheme="minorHAnsi" w:hAnsiTheme="minorHAnsi" w:cstheme="minorHAnsi"/>
          <w:color w:val="000000"/>
          <w:sz w:val="24"/>
          <w:lang w:val="de-DE"/>
        </w:rPr>
        <w:t>) sind auch bekannt unter RIS</w:t>
      </w:r>
      <w:r w:rsidRPr="00EF045B">
        <w:rPr>
          <w:rFonts w:asciiTheme="minorHAnsi" w:hAnsiTheme="minorHAnsi" w:cstheme="minorHAnsi"/>
          <w:sz w:val="24"/>
          <w:lang w:val="de-DE"/>
        </w:rPr>
        <w:t>3</w:t>
      </w:r>
      <w:r w:rsidRPr="00EF045B">
        <w:rPr>
          <w:rFonts w:asciiTheme="minorHAnsi" w:hAnsiTheme="minorHAnsi" w:cstheme="minorHAnsi"/>
          <w:color w:val="000000"/>
          <w:sz w:val="24"/>
          <w:lang w:val="de-DE"/>
        </w:rPr>
        <w:t xml:space="preserve"> = Research and Innovation Strategies for Smart Specialisation oder zu gut Deutsch als Strategien zur intelligenten Spezialisierung. Sie sind Ex-Ante-Konditionalität für die Zuerkennung von Strukturfonds-Förderungen 2014-2020 (ESIF) in der Förderpriorität Forschung und Innovation. Konkret: Jeder Mitgliedsstaat musste </w:t>
      </w:r>
      <w:r w:rsidRPr="00EF045B">
        <w:rPr>
          <w:rFonts w:asciiTheme="minorHAnsi" w:hAnsiTheme="minorHAnsi" w:cstheme="minorHAnsi"/>
          <w:sz w:val="24"/>
          <w:lang w:val="de-DE"/>
        </w:rPr>
        <w:t>in der</w:t>
      </w:r>
      <w:r w:rsidRPr="00EF045B">
        <w:rPr>
          <w:rFonts w:asciiTheme="minorHAnsi" w:hAnsiTheme="minorHAnsi" w:cstheme="minorHAnsi"/>
          <w:color w:val="000000"/>
          <w:sz w:val="24"/>
          <w:lang w:val="de-DE"/>
        </w:rPr>
        <w:t xml:space="preserve"> regionale</w:t>
      </w:r>
      <w:r w:rsidRPr="00EF045B">
        <w:rPr>
          <w:rFonts w:asciiTheme="minorHAnsi" w:hAnsiTheme="minorHAnsi" w:cstheme="minorHAnsi"/>
          <w:sz w:val="24"/>
          <w:lang w:val="de-DE"/>
        </w:rPr>
        <w:t>n</w:t>
      </w:r>
      <w:r w:rsidRPr="00EF045B">
        <w:rPr>
          <w:rFonts w:asciiTheme="minorHAnsi" w:hAnsiTheme="minorHAnsi" w:cstheme="minorHAnsi"/>
          <w:color w:val="000000"/>
          <w:sz w:val="24"/>
          <w:lang w:val="de-DE"/>
        </w:rPr>
        <w:t xml:space="preserve"> oder nationale</w:t>
      </w:r>
      <w:r w:rsidRPr="00EF045B">
        <w:rPr>
          <w:rFonts w:asciiTheme="minorHAnsi" w:hAnsiTheme="minorHAnsi" w:cstheme="minorHAnsi"/>
          <w:sz w:val="24"/>
          <w:lang w:val="de-DE"/>
        </w:rPr>
        <w:t>n</w:t>
      </w:r>
      <w:r w:rsidRPr="00EF045B">
        <w:rPr>
          <w:rFonts w:asciiTheme="minorHAnsi" w:hAnsiTheme="minorHAnsi" w:cstheme="minorHAnsi"/>
          <w:color w:val="000000"/>
          <w:sz w:val="24"/>
          <w:lang w:val="de-DE"/>
        </w:rPr>
        <w:t xml:space="preserve"> RIS3 seine </w:t>
      </w:r>
      <w:r w:rsidRPr="00EF045B">
        <w:rPr>
          <w:rFonts w:asciiTheme="minorHAnsi" w:hAnsiTheme="minorHAnsi" w:cstheme="minorHAnsi"/>
          <w:sz w:val="24"/>
          <w:lang w:val="de-DE"/>
        </w:rPr>
        <w:t>Forschungs- und Innovations-</w:t>
      </w:r>
      <w:r w:rsidRPr="00EF045B">
        <w:rPr>
          <w:rFonts w:asciiTheme="minorHAnsi" w:hAnsiTheme="minorHAnsi" w:cstheme="minorHAnsi"/>
          <w:color w:val="000000"/>
          <w:sz w:val="24"/>
          <w:lang w:val="de-DE"/>
        </w:rPr>
        <w:t xml:space="preserve">Förderanliegen zugrunde legen. Die für die Strukturfonds-Förderungen </w:t>
      </w:r>
    </w:p>
    <w:p w14:paraId="4386AF71" w14:textId="77777777" w:rsidR="00C5347E" w:rsidRDefault="00C5347E" w:rsidP="00B022C8">
      <w:pPr>
        <w:ind w:right="595"/>
        <w:rPr>
          <w:rFonts w:asciiTheme="minorHAnsi" w:hAnsiTheme="minorHAnsi" w:cstheme="minorHAnsi"/>
          <w:color w:val="000000"/>
          <w:sz w:val="24"/>
          <w:lang w:val="de-DE"/>
        </w:rPr>
      </w:pPr>
    </w:p>
    <w:p w14:paraId="2105566C" w14:textId="77777777" w:rsidR="00C5347E" w:rsidRDefault="00C5347E" w:rsidP="00B022C8">
      <w:pPr>
        <w:ind w:right="595"/>
        <w:rPr>
          <w:rFonts w:asciiTheme="minorHAnsi" w:hAnsiTheme="minorHAnsi" w:cstheme="minorHAnsi"/>
          <w:color w:val="000000"/>
          <w:sz w:val="24"/>
          <w:lang w:val="de-DE"/>
        </w:rPr>
      </w:pPr>
    </w:p>
    <w:p w14:paraId="64D134F0" w14:textId="77777777" w:rsidR="00C5347E" w:rsidRDefault="00C5347E" w:rsidP="00B022C8">
      <w:pPr>
        <w:ind w:right="595"/>
        <w:rPr>
          <w:rFonts w:asciiTheme="minorHAnsi" w:hAnsiTheme="minorHAnsi" w:cstheme="minorHAnsi"/>
          <w:color w:val="000000"/>
          <w:sz w:val="24"/>
          <w:lang w:val="de-DE"/>
        </w:rPr>
      </w:pPr>
    </w:p>
    <w:p w14:paraId="48E8D4DF" w14:textId="77777777" w:rsidR="00C5347E" w:rsidRDefault="00C5347E" w:rsidP="00B022C8">
      <w:pPr>
        <w:ind w:right="595"/>
        <w:rPr>
          <w:rFonts w:asciiTheme="minorHAnsi" w:hAnsiTheme="minorHAnsi" w:cstheme="minorHAnsi"/>
          <w:color w:val="000000"/>
          <w:sz w:val="24"/>
          <w:lang w:val="de-DE"/>
        </w:rPr>
      </w:pPr>
    </w:p>
    <w:p w14:paraId="7C0659B6" w14:textId="063F3FFE" w:rsidR="006E2A06" w:rsidRPr="00EF045B" w:rsidRDefault="00B022C8" w:rsidP="00B022C8">
      <w:pPr>
        <w:ind w:right="595"/>
        <w:rPr>
          <w:rFonts w:asciiTheme="minorHAnsi" w:hAnsiTheme="minorHAnsi" w:cstheme="minorHAnsi"/>
          <w:color w:val="000000"/>
          <w:sz w:val="24"/>
          <w:lang w:val="de-DE"/>
        </w:rPr>
      </w:pPr>
      <w:r w:rsidRPr="00EF045B">
        <w:rPr>
          <w:rFonts w:asciiTheme="minorHAnsi" w:hAnsiTheme="minorHAnsi" w:cstheme="minorHAnsi"/>
          <w:color w:val="000000"/>
          <w:sz w:val="24"/>
          <w:lang w:val="de-DE"/>
        </w:rPr>
        <w:t xml:space="preserve">relevanten Dokumente der Mitgliedstaaten (Operationellen Programme/OPs und Partnerschaftsvereinbarungen/PAs) werden von der EU-Kommission aktuell geprüft. </w:t>
      </w:r>
    </w:p>
    <w:p w14:paraId="1E8AFBFB" w14:textId="02378225" w:rsidR="00B022C8" w:rsidRPr="0010710F" w:rsidRDefault="006E2A06" w:rsidP="00B022C8">
      <w:pPr>
        <w:ind w:right="595"/>
        <w:rPr>
          <w:rFonts w:asciiTheme="minorHAnsi" w:hAnsiTheme="minorHAnsi" w:cstheme="minorHAnsi"/>
          <w:sz w:val="24"/>
        </w:rPr>
      </w:pPr>
      <w:r w:rsidRPr="00EF045B">
        <w:rPr>
          <w:rStyle w:val="hps"/>
          <w:rFonts w:asciiTheme="minorHAnsi" w:hAnsiTheme="minorHAnsi" w:cstheme="minorHAnsi"/>
          <w:color w:val="222222"/>
          <w:sz w:val="24"/>
          <w:lang w:val="de-DE"/>
        </w:rPr>
        <w:t>Die</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28</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Partnerschaftsabkommen (</w:t>
      </w:r>
      <w:r w:rsidRPr="00EF045B">
        <w:rPr>
          <w:rFonts w:asciiTheme="minorHAnsi" w:hAnsiTheme="minorHAnsi" w:cstheme="minorHAnsi"/>
          <w:color w:val="222222"/>
          <w:sz w:val="24"/>
          <w:lang w:val="de-DE"/>
        </w:rPr>
        <w:t xml:space="preserve">PA) der EU-Mitgliedsstaaten hat die Europäische Kommission bereits </w:t>
      </w:r>
      <w:r w:rsidRPr="00EF045B">
        <w:rPr>
          <w:rStyle w:val="hps"/>
          <w:rFonts w:asciiTheme="minorHAnsi" w:hAnsiTheme="minorHAnsi" w:cstheme="minorHAnsi"/>
          <w:color w:val="222222"/>
          <w:sz w:val="24"/>
          <w:lang w:val="de-DE"/>
        </w:rPr>
        <w:t>angenommen</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und analysiert laufend</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die eingereichten</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Entwürfe zur</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Kohäsionspolitik, die</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operationellen Programme</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(OP)</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aus allen Ländern,</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in denen die</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Investitionspläne für</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EU-Struktur- und</w:t>
      </w:r>
      <w:r w:rsidRPr="00EF045B">
        <w:rPr>
          <w:rFonts w:asciiTheme="minorHAnsi" w:hAnsiTheme="minorHAnsi" w:cstheme="minorHAnsi"/>
          <w:color w:val="222222"/>
          <w:sz w:val="24"/>
          <w:lang w:val="de-DE"/>
        </w:rPr>
        <w:t xml:space="preserve"> </w:t>
      </w:r>
      <w:r w:rsidRPr="00EF045B">
        <w:rPr>
          <w:rStyle w:val="hps"/>
          <w:rFonts w:asciiTheme="minorHAnsi" w:hAnsiTheme="minorHAnsi" w:cstheme="minorHAnsi"/>
          <w:color w:val="222222"/>
          <w:sz w:val="24"/>
          <w:lang w:val="de-DE"/>
        </w:rPr>
        <w:t>Investmentfonds</w:t>
      </w:r>
      <w:r w:rsidRPr="00EF045B">
        <w:rPr>
          <w:rFonts w:asciiTheme="minorHAnsi" w:hAnsiTheme="minorHAnsi" w:cstheme="minorHAnsi"/>
          <w:color w:val="222222"/>
          <w:sz w:val="24"/>
          <w:lang w:val="de-DE"/>
        </w:rPr>
        <w:t xml:space="preserve"> (2014-2020) dargelegt werden.</w:t>
      </w:r>
      <w:r w:rsidR="00B022C8" w:rsidRPr="00EF045B">
        <w:rPr>
          <w:rFonts w:asciiTheme="minorHAnsi" w:hAnsiTheme="minorHAnsi" w:cstheme="minorHAnsi"/>
          <w:color w:val="000000"/>
          <w:sz w:val="24"/>
          <w:lang w:val="de-DE"/>
        </w:rPr>
        <w:t xml:space="preserve"> </w:t>
      </w:r>
      <w:hyperlink r:id="rId10" w:anchor="1" w:history="1">
        <w:r w:rsidR="00B022C8" w:rsidRPr="0010710F">
          <w:rPr>
            <w:rStyle w:val="Hyperlink"/>
            <w:rFonts w:asciiTheme="minorHAnsi" w:hAnsiTheme="minorHAnsi" w:cstheme="minorHAnsi"/>
            <w:sz w:val="24"/>
          </w:rPr>
          <w:t>http://ec.europa.eu/regional_policy/what/future/index_en.cfm#1</w:t>
        </w:r>
      </w:hyperlink>
      <w:r w:rsidR="00B022C8" w:rsidRPr="0010710F">
        <w:rPr>
          <w:rFonts w:asciiTheme="minorHAnsi" w:hAnsiTheme="minorHAnsi" w:cstheme="minorHAnsi"/>
          <w:sz w:val="24"/>
        </w:rPr>
        <w:t>.</w:t>
      </w:r>
    </w:p>
    <w:p w14:paraId="54F184AE" w14:textId="77777777" w:rsidR="00B022C8" w:rsidRPr="0010710F" w:rsidRDefault="00B022C8" w:rsidP="00B022C8">
      <w:pPr>
        <w:ind w:right="595"/>
        <w:rPr>
          <w:rFonts w:asciiTheme="minorHAnsi" w:hAnsiTheme="minorHAnsi" w:cstheme="minorHAnsi"/>
          <w:b/>
          <w:bCs/>
          <w:color w:val="000000"/>
          <w:sz w:val="24"/>
        </w:rPr>
      </w:pPr>
    </w:p>
    <w:p w14:paraId="507BDF67" w14:textId="77777777" w:rsidR="00B022C8" w:rsidRPr="00EF045B" w:rsidRDefault="00B022C8" w:rsidP="00B022C8">
      <w:pPr>
        <w:ind w:right="595"/>
        <w:rPr>
          <w:rFonts w:asciiTheme="minorHAnsi" w:hAnsiTheme="minorHAnsi" w:cstheme="minorHAnsi"/>
          <w:b/>
          <w:bCs/>
          <w:color w:val="0070C0"/>
          <w:sz w:val="24"/>
          <w:lang w:val="de-DE"/>
        </w:rPr>
      </w:pPr>
      <w:r w:rsidRPr="00EF045B">
        <w:rPr>
          <w:rFonts w:asciiTheme="minorHAnsi" w:hAnsiTheme="minorHAnsi" w:cstheme="minorHAnsi"/>
          <w:b/>
          <w:bCs/>
          <w:color w:val="0070C0"/>
          <w:sz w:val="24"/>
          <w:lang w:val="de-DE"/>
        </w:rPr>
        <w:t>EDM – Europaregion Donau-Moldau:</w:t>
      </w:r>
    </w:p>
    <w:p w14:paraId="3B36443E" w14:textId="77777777" w:rsidR="00B022C8" w:rsidRPr="00EF045B" w:rsidRDefault="00B022C8" w:rsidP="00B022C8">
      <w:pPr>
        <w:shd w:val="clear" w:color="auto" w:fill="FFFFFF"/>
        <w:rPr>
          <w:rFonts w:asciiTheme="minorHAnsi" w:hAnsiTheme="minorHAnsi" w:cstheme="minorHAnsi"/>
          <w:color w:val="000000"/>
          <w:sz w:val="24"/>
          <w:lang w:val="de-DE"/>
        </w:rPr>
      </w:pPr>
      <w:r w:rsidRPr="00EF045B">
        <w:rPr>
          <w:rFonts w:asciiTheme="minorHAnsi" w:hAnsiTheme="minorHAnsi" w:cstheme="minorHAnsi"/>
          <w:color w:val="000000"/>
          <w:sz w:val="24"/>
          <w:lang w:val="de-DE"/>
        </w:rPr>
        <w:t xml:space="preserve">Die 2012 gegründete Europaregion Donau-Moldau ist </w:t>
      </w:r>
      <w:r w:rsidRPr="00EF045B">
        <w:rPr>
          <w:rFonts w:asciiTheme="minorHAnsi" w:hAnsiTheme="minorHAnsi" w:cstheme="minorHAnsi"/>
          <w:b/>
          <w:bCs/>
          <w:color w:val="000000"/>
          <w:sz w:val="24"/>
          <w:lang w:val="de-DE"/>
        </w:rPr>
        <w:t>eine trilateral tätige Arbeitsgemeinschaft</w:t>
      </w:r>
      <w:r w:rsidRPr="00EF045B">
        <w:rPr>
          <w:rFonts w:asciiTheme="minorHAnsi" w:hAnsiTheme="minorHAnsi" w:cstheme="minorHAnsi"/>
          <w:color w:val="000000"/>
          <w:sz w:val="24"/>
          <w:lang w:val="de-DE"/>
        </w:rPr>
        <w:t xml:space="preserve"> </w:t>
      </w:r>
      <w:r w:rsidRPr="00EF045B">
        <w:rPr>
          <w:rFonts w:asciiTheme="minorHAnsi" w:hAnsiTheme="minorHAnsi" w:cstheme="minorHAnsi"/>
          <w:b/>
          <w:bCs/>
          <w:color w:val="000000"/>
          <w:sz w:val="24"/>
          <w:lang w:val="de-DE"/>
        </w:rPr>
        <w:t xml:space="preserve">der sieben Partnerregionen </w:t>
      </w:r>
      <w:r w:rsidRPr="00EF045B">
        <w:rPr>
          <w:rFonts w:asciiTheme="minorHAnsi" w:hAnsiTheme="minorHAnsi" w:cstheme="minorHAnsi"/>
          <w:color w:val="000000"/>
          <w:sz w:val="24"/>
          <w:lang w:val="de-DE"/>
        </w:rPr>
        <w:t xml:space="preserve">Oberösterreich, niederösterreichisches Most- und Waldviertel, Niederbayern mit dem Landkreis Altötting, Oberpfalz, Pilsen, Südböhmen und Vysočina. Diese 7 Grenzregionen wollen gemeinsam die Wirtschaft in ihrer Region vorantreiben und auch die EDM als wettbewerbsfähigen Wirtschaftsraum zwischen den Metropolen Wien, Bratislava, Prag, München und Nürnberg international sichtbar machen. </w:t>
      </w:r>
      <w:hyperlink r:id="rId11" w:history="1">
        <w:r w:rsidRPr="00EF045B">
          <w:rPr>
            <w:rStyle w:val="Hyperlink"/>
            <w:rFonts w:asciiTheme="minorHAnsi" w:hAnsiTheme="minorHAnsi" w:cstheme="minorHAnsi"/>
            <w:sz w:val="24"/>
            <w:lang w:val="de-DE"/>
          </w:rPr>
          <w:t>www.europeanregion-danube-vltava.eu</w:t>
        </w:r>
      </w:hyperlink>
      <w:r w:rsidRPr="00EF045B">
        <w:rPr>
          <w:rFonts w:asciiTheme="minorHAnsi" w:hAnsiTheme="minorHAnsi" w:cstheme="minorHAnsi"/>
          <w:sz w:val="24"/>
          <w:lang w:val="de-DE"/>
        </w:rPr>
        <w:t xml:space="preserve"> </w:t>
      </w:r>
    </w:p>
    <w:p w14:paraId="2BE4BF7D" w14:textId="77777777" w:rsidR="00B022C8" w:rsidRPr="00EF045B" w:rsidRDefault="00B022C8" w:rsidP="00B022C8">
      <w:pPr>
        <w:shd w:val="clear" w:color="auto" w:fill="FFFFFF"/>
        <w:rPr>
          <w:rFonts w:asciiTheme="minorHAnsi" w:hAnsiTheme="minorHAnsi" w:cstheme="minorHAnsi"/>
          <w:color w:val="000000"/>
          <w:sz w:val="24"/>
          <w:lang w:val="de-DE"/>
        </w:rPr>
      </w:pPr>
      <w:r w:rsidRPr="00EF045B">
        <w:rPr>
          <w:rFonts w:asciiTheme="minorHAnsi" w:hAnsiTheme="minorHAnsi" w:cstheme="minorHAnsi"/>
          <w:color w:val="000000"/>
          <w:sz w:val="24"/>
          <w:lang w:val="de-DE"/>
        </w:rPr>
        <w:t>Der Schwerpunkt liegt dabei auf den 7 Zukunftsthemen Forschung- &amp; Innovation, Hochschulraum, Unternehmenskooperation &amp; Cluster, Qualifizierte Arbeitskräfte- &amp; flexibler Arbeitsmarkt, Tourismus und Erneuerbare Energien &amp; Energieeffizienz, welche in 7 fachlichen Arbeitsgruppen den Wissensplattformen bearbeitet werden. Das Land Oberösterreich leitet das Thema „Unternehmenskooperation und Cluster“. Das Management für diese Wissensplattform liegt bei der TMG – OÖ Technologie- und Marketinggesellschaft mbH, Abteilung für Strategien</w:t>
      </w:r>
      <w:r w:rsidRPr="00EF045B">
        <w:rPr>
          <w:rFonts w:asciiTheme="minorHAnsi" w:hAnsiTheme="minorHAnsi" w:cstheme="minorHAnsi"/>
          <w:sz w:val="24"/>
          <w:lang w:val="de-DE"/>
        </w:rPr>
        <w:t xml:space="preserve"> und Programme.</w:t>
      </w:r>
    </w:p>
    <w:p w14:paraId="0192E466" w14:textId="77777777" w:rsidR="00B022C8" w:rsidRPr="00EF045B" w:rsidRDefault="00B022C8" w:rsidP="00B022C8">
      <w:pPr>
        <w:ind w:right="595"/>
        <w:rPr>
          <w:rFonts w:asciiTheme="minorHAnsi" w:hAnsiTheme="minorHAnsi" w:cstheme="minorHAnsi"/>
          <w:color w:val="0070C0"/>
          <w:sz w:val="24"/>
          <w:lang w:val="de-DE" w:eastAsia="en-US"/>
        </w:rPr>
      </w:pPr>
    </w:p>
    <w:p w14:paraId="36F23FA5" w14:textId="77777777" w:rsidR="00C65E0F" w:rsidRPr="00AC5065" w:rsidRDefault="00C65E0F" w:rsidP="00B022C8">
      <w:pPr>
        <w:rPr>
          <w:rFonts w:ascii="Calibri" w:hAnsi="Calibri" w:cs="Calibri"/>
          <w:color w:val="000000"/>
          <w:sz w:val="20"/>
          <w:szCs w:val="20"/>
          <w:lang w:val="de-DE"/>
        </w:rPr>
      </w:pPr>
    </w:p>
    <w:sectPr w:rsidR="00C65E0F" w:rsidRPr="00AC5065" w:rsidSect="00C634D2">
      <w:headerReference w:type="default" r:id="rId12"/>
      <w:footerReference w:type="default" r:id="rId13"/>
      <w:headerReference w:type="first" r:id="rId14"/>
      <w:footerReference w:type="first" r:id="rId15"/>
      <w:pgSz w:w="11906" w:h="16838" w:code="9"/>
      <w:pgMar w:top="1134" w:right="737" w:bottom="1134" w:left="1361" w:header="227"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27FC1" w14:textId="77777777" w:rsidR="00FF6039" w:rsidRDefault="00FF6039">
      <w:r>
        <w:separator/>
      </w:r>
    </w:p>
  </w:endnote>
  <w:endnote w:type="continuationSeparator" w:id="0">
    <w:p w14:paraId="6C07EB9A" w14:textId="77777777" w:rsidR="00FF6039" w:rsidRDefault="00FF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SRI Transportation &amp; Civic">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04B3" w14:textId="77777777" w:rsidR="00A12797" w:rsidRPr="00BB402D" w:rsidRDefault="00A12797" w:rsidP="00A12797">
    <w:pPr>
      <w:pStyle w:val="Fuzeile"/>
      <w:jc w:val="right"/>
      <w:rPr>
        <w:rStyle w:val="Seitenzahl"/>
      </w:rPr>
    </w:pPr>
  </w:p>
  <w:p w14:paraId="5ACC3060" w14:textId="5D48B27B" w:rsidR="00A12797" w:rsidRPr="00BB402D" w:rsidRDefault="00C634D2" w:rsidP="00A12797">
    <w:pPr>
      <w:pStyle w:val="Fuzeile"/>
      <w:jc w:val="right"/>
    </w:pPr>
    <w:r>
      <w:rPr>
        <w:noProof/>
        <w:lang w:val="de-AT"/>
      </w:rPr>
      <w:drawing>
        <wp:anchor distT="0" distB="0" distL="114300" distR="114300" simplePos="0" relativeHeight="251662848" behindDoc="1" locked="0" layoutInCell="1" allowOverlap="1" wp14:anchorId="48F3F3B9" wp14:editId="51D9CE48">
          <wp:simplePos x="0" y="0"/>
          <wp:positionH relativeFrom="column">
            <wp:posOffset>-616585</wp:posOffset>
          </wp:positionH>
          <wp:positionV relativeFrom="paragraph">
            <wp:posOffset>-386715</wp:posOffset>
          </wp:positionV>
          <wp:extent cx="7562850" cy="891540"/>
          <wp:effectExtent l="0" t="0" r="0" b="3810"/>
          <wp:wrapNone/>
          <wp:docPr id="4" name="Bild 8" descr="ERDV_paticka_KOMPLE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DV_paticka_KOMPLE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797">
      <w:rPr>
        <w:rStyle w:val="Seitenzahl"/>
      </w:rPr>
      <w:t xml:space="preserve">Strana </w:t>
    </w:r>
    <w:r w:rsidR="00A12797">
      <w:rPr>
        <w:rStyle w:val="Seitenzahl"/>
      </w:rPr>
      <w:fldChar w:fldCharType="begin"/>
    </w:r>
    <w:r w:rsidR="00A12797">
      <w:rPr>
        <w:rStyle w:val="Seitenzahl"/>
      </w:rPr>
      <w:instrText xml:space="preserve"> PAGE \* CHARFORMAT </w:instrText>
    </w:r>
    <w:r w:rsidR="00A12797">
      <w:rPr>
        <w:rStyle w:val="Seitenzahl"/>
      </w:rPr>
      <w:fldChar w:fldCharType="separate"/>
    </w:r>
    <w:r w:rsidR="00380818">
      <w:rPr>
        <w:rStyle w:val="Seitenzahl"/>
        <w:noProof/>
      </w:rPr>
      <w:t>3</w:t>
    </w:r>
    <w:r w:rsidR="00A127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9B53" w14:textId="1DDCE7CA" w:rsidR="00A12797" w:rsidRPr="00D809BA" w:rsidRDefault="00A3123F" w:rsidP="00A12797">
    <w:pPr>
      <w:pStyle w:val="Fuzeile"/>
      <w:rPr>
        <w:sz w:val="16"/>
        <w:szCs w:val="16"/>
      </w:rPr>
    </w:pPr>
    <w:r>
      <w:rPr>
        <w:noProof/>
        <w:lang w:val="de-AT"/>
      </w:rPr>
      <w:drawing>
        <wp:anchor distT="0" distB="0" distL="114300" distR="114300" simplePos="0" relativeHeight="251656704" behindDoc="1" locked="0" layoutInCell="1" allowOverlap="1" wp14:anchorId="341287A3" wp14:editId="561C7C64">
          <wp:simplePos x="0" y="0"/>
          <wp:positionH relativeFrom="column">
            <wp:posOffset>-768985</wp:posOffset>
          </wp:positionH>
          <wp:positionV relativeFrom="paragraph">
            <wp:posOffset>-546100</wp:posOffset>
          </wp:positionV>
          <wp:extent cx="7562850" cy="891540"/>
          <wp:effectExtent l="0" t="0" r="0" b="3810"/>
          <wp:wrapNone/>
          <wp:docPr id="8" name="Bild 8" descr="ERDV_paticka_KOMPLE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DV_paticka_KOMPLE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915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BE678" w14:textId="77777777" w:rsidR="00FF6039" w:rsidRDefault="00FF6039">
      <w:r>
        <w:separator/>
      </w:r>
    </w:p>
  </w:footnote>
  <w:footnote w:type="continuationSeparator" w:id="0">
    <w:p w14:paraId="09AC5852" w14:textId="77777777" w:rsidR="00FF6039" w:rsidRDefault="00FF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693BD" w14:textId="5329E806" w:rsidR="00C634D2" w:rsidRDefault="00C634D2">
    <w:pPr>
      <w:pStyle w:val="Kopfzeile"/>
    </w:pPr>
    <w:r>
      <w:rPr>
        <w:noProof/>
        <w:lang w:val="de-AT"/>
      </w:rPr>
      <w:drawing>
        <wp:anchor distT="0" distB="0" distL="114300" distR="114300" simplePos="0" relativeHeight="251660800" behindDoc="1" locked="0" layoutInCell="1" allowOverlap="1" wp14:anchorId="09B700C1" wp14:editId="68406A1C">
          <wp:simplePos x="0" y="0"/>
          <wp:positionH relativeFrom="column">
            <wp:posOffset>4391025</wp:posOffset>
          </wp:positionH>
          <wp:positionV relativeFrom="paragraph">
            <wp:posOffset>-92075</wp:posOffset>
          </wp:positionV>
          <wp:extent cx="2158365" cy="798195"/>
          <wp:effectExtent l="0" t="0" r="0" b="0"/>
          <wp:wrapNone/>
          <wp:docPr id="3" name="Bild 2" descr="logo ERDM for Word PPT and offic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RDM for Word PPT and office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98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FE08B" w14:textId="4983B2AD" w:rsidR="00A12797" w:rsidRPr="0098217D" w:rsidRDefault="00A3123F" w:rsidP="00A12797">
    <w:pPr>
      <w:pStyle w:val="Kopfzeile"/>
      <w:spacing w:line="14" w:lineRule="exact"/>
      <w:rPr>
        <w:sz w:val="8"/>
      </w:rPr>
    </w:pPr>
    <w:r>
      <w:rPr>
        <w:noProof/>
        <w:lang w:val="de-AT"/>
      </w:rPr>
      <w:drawing>
        <wp:anchor distT="0" distB="0" distL="114300" distR="114300" simplePos="0" relativeHeight="251657728" behindDoc="1" locked="0" layoutInCell="1" allowOverlap="1" wp14:anchorId="798034B2" wp14:editId="55C0337A">
          <wp:simplePos x="0" y="0"/>
          <wp:positionH relativeFrom="column">
            <wp:posOffset>4238625</wp:posOffset>
          </wp:positionH>
          <wp:positionV relativeFrom="paragraph">
            <wp:posOffset>-6350</wp:posOffset>
          </wp:positionV>
          <wp:extent cx="2158365" cy="798195"/>
          <wp:effectExtent l="0" t="0" r="0" b="0"/>
          <wp:wrapNone/>
          <wp:docPr id="2" name="Bild 2" descr="logo ERDM for Word PPT and offic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RDM for Word PPT and office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rPr>
      <w:drawing>
        <wp:anchor distT="0" distB="0" distL="114300" distR="114300" simplePos="0" relativeHeight="251658752" behindDoc="1" locked="0" layoutInCell="1" allowOverlap="1" wp14:anchorId="46729031" wp14:editId="34A7597B">
          <wp:simplePos x="0" y="0"/>
          <wp:positionH relativeFrom="column">
            <wp:posOffset>-883285</wp:posOffset>
          </wp:positionH>
          <wp:positionV relativeFrom="paragraph">
            <wp:posOffset>-160020</wp:posOffset>
          </wp:positionV>
          <wp:extent cx="328295" cy="10786110"/>
          <wp:effectExtent l="0" t="0" r="0" b="0"/>
          <wp:wrapNone/>
          <wp:docPr id="1" name="Bild 1" descr="ERDV_pruh_uzk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DV_pruh_uzky-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295" cy="10786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37285"/>
    <w:multiLevelType w:val="hybridMultilevel"/>
    <w:tmpl w:val="705AC08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nsid w:val="3BAF6369"/>
    <w:multiLevelType w:val="hybridMultilevel"/>
    <w:tmpl w:val="655AA8BC"/>
    <w:lvl w:ilvl="0" w:tplc="8AC2D53A">
      <w:start w:val="1"/>
      <w:numFmt w:val="decimal"/>
      <w:lvlText w:val="%1."/>
      <w:lvlJc w:val="left"/>
      <w:pPr>
        <w:tabs>
          <w:tab w:val="num" w:pos="720"/>
        </w:tabs>
        <w:ind w:left="720" w:hanging="360"/>
      </w:pPr>
      <w:rPr>
        <w:rFonts w:hint="default"/>
      </w:rPr>
    </w:lvl>
    <w:lvl w:ilvl="1" w:tplc="BBB0EAD8" w:tentative="1">
      <w:start w:val="1"/>
      <w:numFmt w:val="lowerLetter"/>
      <w:lvlText w:val="%2."/>
      <w:lvlJc w:val="left"/>
      <w:pPr>
        <w:tabs>
          <w:tab w:val="num" w:pos="1440"/>
        </w:tabs>
        <w:ind w:left="1440" w:hanging="360"/>
      </w:pPr>
    </w:lvl>
    <w:lvl w:ilvl="2" w:tplc="1D467708" w:tentative="1">
      <w:start w:val="1"/>
      <w:numFmt w:val="lowerRoman"/>
      <w:lvlText w:val="%3."/>
      <w:lvlJc w:val="right"/>
      <w:pPr>
        <w:tabs>
          <w:tab w:val="num" w:pos="2160"/>
        </w:tabs>
        <w:ind w:left="2160" w:hanging="180"/>
      </w:pPr>
    </w:lvl>
    <w:lvl w:ilvl="3" w:tplc="122A157A" w:tentative="1">
      <w:start w:val="1"/>
      <w:numFmt w:val="decimal"/>
      <w:lvlText w:val="%4."/>
      <w:lvlJc w:val="left"/>
      <w:pPr>
        <w:tabs>
          <w:tab w:val="num" w:pos="2880"/>
        </w:tabs>
        <w:ind w:left="2880" w:hanging="360"/>
      </w:pPr>
    </w:lvl>
    <w:lvl w:ilvl="4" w:tplc="5722452C" w:tentative="1">
      <w:start w:val="1"/>
      <w:numFmt w:val="lowerLetter"/>
      <w:lvlText w:val="%5."/>
      <w:lvlJc w:val="left"/>
      <w:pPr>
        <w:tabs>
          <w:tab w:val="num" w:pos="3600"/>
        </w:tabs>
        <w:ind w:left="3600" w:hanging="360"/>
      </w:pPr>
    </w:lvl>
    <w:lvl w:ilvl="5" w:tplc="33A0CC66" w:tentative="1">
      <w:start w:val="1"/>
      <w:numFmt w:val="lowerRoman"/>
      <w:lvlText w:val="%6."/>
      <w:lvlJc w:val="right"/>
      <w:pPr>
        <w:tabs>
          <w:tab w:val="num" w:pos="4320"/>
        </w:tabs>
        <w:ind w:left="4320" w:hanging="180"/>
      </w:pPr>
    </w:lvl>
    <w:lvl w:ilvl="6" w:tplc="0F78F52A" w:tentative="1">
      <w:start w:val="1"/>
      <w:numFmt w:val="decimal"/>
      <w:lvlText w:val="%7."/>
      <w:lvlJc w:val="left"/>
      <w:pPr>
        <w:tabs>
          <w:tab w:val="num" w:pos="5040"/>
        </w:tabs>
        <w:ind w:left="5040" w:hanging="360"/>
      </w:pPr>
    </w:lvl>
    <w:lvl w:ilvl="7" w:tplc="E6CCE442" w:tentative="1">
      <w:start w:val="1"/>
      <w:numFmt w:val="lowerLetter"/>
      <w:lvlText w:val="%8."/>
      <w:lvlJc w:val="left"/>
      <w:pPr>
        <w:tabs>
          <w:tab w:val="num" w:pos="5760"/>
        </w:tabs>
        <w:ind w:left="5760" w:hanging="360"/>
      </w:pPr>
    </w:lvl>
    <w:lvl w:ilvl="8" w:tplc="32DCA632" w:tentative="1">
      <w:start w:val="1"/>
      <w:numFmt w:val="lowerRoman"/>
      <w:lvlText w:val="%9."/>
      <w:lvlJc w:val="right"/>
      <w:pPr>
        <w:tabs>
          <w:tab w:val="num" w:pos="6480"/>
        </w:tabs>
        <w:ind w:left="6480" w:hanging="180"/>
      </w:pPr>
    </w:lvl>
  </w:abstractNum>
  <w:abstractNum w:abstractNumId="2">
    <w:nsid w:val="40FC4585"/>
    <w:multiLevelType w:val="hybridMultilevel"/>
    <w:tmpl w:val="8B0E3FC4"/>
    <w:lvl w:ilvl="0" w:tplc="20F81C66">
      <w:start w:val="1"/>
      <w:numFmt w:val="decimal"/>
      <w:lvlText w:val="%1."/>
      <w:lvlJc w:val="left"/>
      <w:pPr>
        <w:tabs>
          <w:tab w:val="num" w:pos="720"/>
        </w:tabs>
        <w:ind w:left="720" w:hanging="360"/>
      </w:pPr>
      <w:rPr>
        <w:rFonts w:hint="default"/>
      </w:rPr>
    </w:lvl>
    <w:lvl w:ilvl="1" w:tplc="D9D8C71E" w:tentative="1">
      <w:start w:val="1"/>
      <w:numFmt w:val="lowerLetter"/>
      <w:lvlText w:val="%2."/>
      <w:lvlJc w:val="left"/>
      <w:pPr>
        <w:tabs>
          <w:tab w:val="num" w:pos="1440"/>
        </w:tabs>
        <w:ind w:left="1440" w:hanging="360"/>
      </w:pPr>
    </w:lvl>
    <w:lvl w:ilvl="2" w:tplc="5344D48A" w:tentative="1">
      <w:start w:val="1"/>
      <w:numFmt w:val="lowerRoman"/>
      <w:lvlText w:val="%3."/>
      <w:lvlJc w:val="right"/>
      <w:pPr>
        <w:tabs>
          <w:tab w:val="num" w:pos="2160"/>
        </w:tabs>
        <w:ind w:left="2160" w:hanging="180"/>
      </w:pPr>
    </w:lvl>
    <w:lvl w:ilvl="3" w:tplc="3DA8D186" w:tentative="1">
      <w:start w:val="1"/>
      <w:numFmt w:val="decimal"/>
      <w:lvlText w:val="%4."/>
      <w:lvlJc w:val="left"/>
      <w:pPr>
        <w:tabs>
          <w:tab w:val="num" w:pos="2880"/>
        </w:tabs>
        <w:ind w:left="2880" w:hanging="360"/>
      </w:pPr>
    </w:lvl>
    <w:lvl w:ilvl="4" w:tplc="AC50EE86" w:tentative="1">
      <w:start w:val="1"/>
      <w:numFmt w:val="lowerLetter"/>
      <w:lvlText w:val="%5."/>
      <w:lvlJc w:val="left"/>
      <w:pPr>
        <w:tabs>
          <w:tab w:val="num" w:pos="3600"/>
        </w:tabs>
        <w:ind w:left="3600" w:hanging="360"/>
      </w:pPr>
    </w:lvl>
    <w:lvl w:ilvl="5" w:tplc="33304252" w:tentative="1">
      <w:start w:val="1"/>
      <w:numFmt w:val="lowerRoman"/>
      <w:lvlText w:val="%6."/>
      <w:lvlJc w:val="right"/>
      <w:pPr>
        <w:tabs>
          <w:tab w:val="num" w:pos="4320"/>
        </w:tabs>
        <w:ind w:left="4320" w:hanging="180"/>
      </w:pPr>
    </w:lvl>
    <w:lvl w:ilvl="6" w:tplc="DA021E74" w:tentative="1">
      <w:start w:val="1"/>
      <w:numFmt w:val="decimal"/>
      <w:lvlText w:val="%7."/>
      <w:lvlJc w:val="left"/>
      <w:pPr>
        <w:tabs>
          <w:tab w:val="num" w:pos="5040"/>
        </w:tabs>
        <w:ind w:left="5040" w:hanging="360"/>
      </w:pPr>
    </w:lvl>
    <w:lvl w:ilvl="7" w:tplc="A01A6D02" w:tentative="1">
      <w:start w:val="1"/>
      <w:numFmt w:val="lowerLetter"/>
      <w:lvlText w:val="%8."/>
      <w:lvlJc w:val="left"/>
      <w:pPr>
        <w:tabs>
          <w:tab w:val="num" w:pos="5760"/>
        </w:tabs>
        <w:ind w:left="5760" w:hanging="360"/>
      </w:pPr>
    </w:lvl>
    <w:lvl w:ilvl="8" w:tplc="582A9488" w:tentative="1">
      <w:start w:val="1"/>
      <w:numFmt w:val="lowerRoman"/>
      <w:lvlText w:val="%9."/>
      <w:lvlJc w:val="right"/>
      <w:pPr>
        <w:tabs>
          <w:tab w:val="num" w:pos="6480"/>
        </w:tabs>
        <w:ind w:left="6480" w:hanging="180"/>
      </w:pPr>
    </w:lvl>
  </w:abstractNum>
  <w:abstractNum w:abstractNumId="3">
    <w:nsid w:val="43431DD6"/>
    <w:multiLevelType w:val="hybridMultilevel"/>
    <w:tmpl w:val="A072D9AE"/>
    <w:lvl w:ilvl="0" w:tplc="F9560A10">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nsid w:val="57360BAA"/>
    <w:multiLevelType w:val="hybridMultilevel"/>
    <w:tmpl w:val="3B8CCFC6"/>
    <w:lvl w:ilvl="0" w:tplc="130623EA">
      <w:start w:val="12"/>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nsid w:val="5A037C65"/>
    <w:multiLevelType w:val="hybridMultilevel"/>
    <w:tmpl w:val="295868E8"/>
    <w:lvl w:ilvl="0" w:tplc="9C6C7472">
      <w:start w:val="1"/>
      <w:numFmt w:val="decimal"/>
      <w:lvlText w:val="%1."/>
      <w:lvlJc w:val="left"/>
      <w:pPr>
        <w:tabs>
          <w:tab w:val="num" w:pos="720"/>
        </w:tabs>
        <w:ind w:left="720" w:hanging="360"/>
      </w:pPr>
    </w:lvl>
    <w:lvl w:ilvl="1" w:tplc="B3069F5E" w:tentative="1">
      <w:start w:val="1"/>
      <w:numFmt w:val="lowerLetter"/>
      <w:lvlText w:val="%2."/>
      <w:lvlJc w:val="left"/>
      <w:pPr>
        <w:tabs>
          <w:tab w:val="num" w:pos="1440"/>
        </w:tabs>
        <w:ind w:left="1440" w:hanging="360"/>
      </w:pPr>
    </w:lvl>
    <w:lvl w:ilvl="2" w:tplc="8B98CF52" w:tentative="1">
      <w:start w:val="1"/>
      <w:numFmt w:val="lowerRoman"/>
      <w:lvlText w:val="%3."/>
      <w:lvlJc w:val="right"/>
      <w:pPr>
        <w:tabs>
          <w:tab w:val="num" w:pos="2160"/>
        </w:tabs>
        <w:ind w:left="2160" w:hanging="180"/>
      </w:pPr>
    </w:lvl>
    <w:lvl w:ilvl="3" w:tplc="33B63C0A" w:tentative="1">
      <w:start w:val="1"/>
      <w:numFmt w:val="decimal"/>
      <w:lvlText w:val="%4."/>
      <w:lvlJc w:val="left"/>
      <w:pPr>
        <w:tabs>
          <w:tab w:val="num" w:pos="2880"/>
        </w:tabs>
        <w:ind w:left="2880" w:hanging="360"/>
      </w:pPr>
    </w:lvl>
    <w:lvl w:ilvl="4" w:tplc="D032B242" w:tentative="1">
      <w:start w:val="1"/>
      <w:numFmt w:val="lowerLetter"/>
      <w:lvlText w:val="%5."/>
      <w:lvlJc w:val="left"/>
      <w:pPr>
        <w:tabs>
          <w:tab w:val="num" w:pos="3600"/>
        </w:tabs>
        <w:ind w:left="3600" w:hanging="360"/>
      </w:pPr>
    </w:lvl>
    <w:lvl w:ilvl="5" w:tplc="2B12AE9A" w:tentative="1">
      <w:start w:val="1"/>
      <w:numFmt w:val="lowerRoman"/>
      <w:lvlText w:val="%6."/>
      <w:lvlJc w:val="right"/>
      <w:pPr>
        <w:tabs>
          <w:tab w:val="num" w:pos="4320"/>
        </w:tabs>
        <w:ind w:left="4320" w:hanging="180"/>
      </w:pPr>
    </w:lvl>
    <w:lvl w:ilvl="6" w:tplc="D1C05ADE" w:tentative="1">
      <w:start w:val="1"/>
      <w:numFmt w:val="decimal"/>
      <w:lvlText w:val="%7."/>
      <w:lvlJc w:val="left"/>
      <w:pPr>
        <w:tabs>
          <w:tab w:val="num" w:pos="5040"/>
        </w:tabs>
        <w:ind w:left="5040" w:hanging="360"/>
      </w:pPr>
    </w:lvl>
    <w:lvl w:ilvl="7" w:tplc="5058A6E4" w:tentative="1">
      <w:start w:val="1"/>
      <w:numFmt w:val="lowerLetter"/>
      <w:lvlText w:val="%8."/>
      <w:lvlJc w:val="left"/>
      <w:pPr>
        <w:tabs>
          <w:tab w:val="num" w:pos="5760"/>
        </w:tabs>
        <w:ind w:left="5760" w:hanging="360"/>
      </w:pPr>
    </w:lvl>
    <w:lvl w:ilvl="8" w:tplc="2260414E" w:tentative="1">
      <w:start w:val="1"/>
      <w:numFmt w:val="lowerRoman"/>
      <w:lvlText w:val="%9."/>
      <w:lvlJc w:val="right"/>
      <w:pPr>
        <w:tabs>
          <w:tab w:val="num" w:pos="6480"/>
        </w:tabs>
        <w:ind w:left="6480" w:hanging="180"/>
      </w:pPr>
    </w:lvl>
  </w:abstractNum>
  <w:abstractNum w:abstractNumId="6">
    <w:nsid w:val="5C1433E3"/>
    <w:multiLevelType w:val="hybridMultilevel"/>
    <w:tmpl w:val="27C86C28"/>
    <w:lvl w:ilvl="0" w:tplc="E722B624">
      <w:numFmt w:val="bullet"/>
      <w:lvlText w:val="·"/>
      <w:lvlJc w:val="left"/>
      <w:pPr>
        <w:ind w:left="570" w:hanging="570"/>
      </w:pPr>
      <w:rPr>
        <w:rFonts w:ascii="Arial" w:eastAsia="Times New Roman"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68375233"/>
    <w:multiLevelType w:val="hybridMultilevel"/>
    <w:tmpl w:val="4F409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A016C2F"/>
    <w:multiLevelType w:val="hybridMultilevel"/>
    <w:tmpl w:val="2FDA4900"/>
    <w:lvl w:ilvl="0" w:tplc="7B0C188E">
      <w:start w:val="1"/>
      <w:numFmt w:val="decimal"/>
      <w:lvlText w:val="%1."/>
      <w:lvlJc w:val="left"/>
      <w:pPr>
        <w:tabs>
          <w:tab w:val="num" w:pos="720"/>
        </w:tabs>
        <w:ind w:left="720" w:hanging="360"/>
      </w:pPr>
      <w:rPr>
        <w:rFonts w:hint="default"/>
      </w:rPr>
    </w:lvl>
    <w:lvl w:ilvl="1" w:tplc="7CBE1D56" w:tentative="1">
      <w:start w:val="1"/>
      <w:numFmt w:val="bullet"/>
      <w:lvlText w:val="o"/>
      <w:lvlJc w:val="left"/>
      <w:pPr>
        <w:tabs>
          <w:tab w:val="num" w:pos="1440"/>
        </w:tabs>
        <w:ind w:left="1440" w:hanging="360"/>
      </w:pPr>
      <w:rPr>
        <w:rFonts w:ascii="Courier New" w:hAnsi="Courier New" w:cs="Courier New" w:hint="default"/>
      </w:rPr>
    </w:lvl>
    <w:lvl w:ilvl="2" w:tplc="D0748EEA" w:tentative="1">
      <w:start w:val="1"/>
      <w:numFmt w:val="bullet"/>
      <w:lvlText w:val=""/>
      <w:lvlJc w:val="left"/>
      <w:pPr>
        <w:tabs>
          <w:tab w:val="num" w:pos="2160"/>
        </w:tabs>
        <w:ind w:left="2160" w:hanging="360"/>
      </w:pPr>
      <w:rPr>
        <w:rFonts w:ascii="Wingdings" w:hAnsi="Wingdings" w:hint="default"/>
      </w:rPr>
    </w:lvl>
    <w:lvl w:ilvl="3" w:tplc="44F62712" w:tentative="1">
      <w:start w:val="1"/>
      <w:numFmt w:val="bullet"/>
      <w:lvlText w:val=""/>
      <w:lvlJc w:val="left"/>
      <w:pPr>
        <w:tabs>
          <w:tab w:val="num" w:pos="2880"/>
        </w:tabs>
        <w:ind w:left="2880" w:hanging="360"/>
      </w:pPr>
      <w:rPr>
        <w:rFonts w:ascii="Symbol" w:hAnsi="Symbol" w:hint="default"/>
      </w:rPr>
    </w:lvl>
    <w:lvl w:ilvl="4" w:tplc="34BEC230" w:tentative="1">
      <w:start w:val="1"/>
      <w:numFmt w:val="bullet"/>
      <w:lvlText w:val="o"/>
      <w:lvlJc w:val="left"/>
      <w:pPr>
        <w:tabs>
          <w:tab w:val="num" w:pos="3600"/>
        </w:tabs>
        <w:ind w:left="3600" w:hanging="360"/>
      </w:pPr>
      <w:rPr>
        <w:rFonts w:ascii="Courier New" w:hAnsi="Courier New" w:cs="Courier New" w:hint="default"/>
      </w:rPr>
    </w:lvl>
    <w:lvl w:ilvl="5" w:tplc="25962FE2" w:tentative="1">
      <w:start w:val="1"/>
      <w:numFmt w:val="bullet"/>
      <w:lvlText w:val=""/>
      <w:lvlJc w:val="left"/>
      <w:pPr>
        <w:tabs>
          <w:tab w:val="num" w:pos="4320"/>
        </w:tabs>
        <w:ind w:left="4320" w:hanging="360"/>
      </w:pPr>
      <w:rPr>
        <w:rFonts w:ascii="Wingdings" w:hAnsi="Wingdings" w:hint="default"/>
      </w:rPr>
    </w:lvl>
    <w:lvl w:ilvl="6" w:tplc="73B20D3C" w:tentative="1">
      <w:start w:val="1"/>
      <w:numFmt w:val="bullet"/>
      <w:lvlText w:val=""/>
      <w:lvlJc w:val="left"/>
      <w:pPr>
        <w:tabs>
          <w:tab w:val="num" w:pos="5040"/>
        </w:tabs>
        <w:ind w:left="5040" w:hanging="360"/>
      </w:pPr>
      <w:rPr>
        <w:rFonts w:ascii="Symbol" w:hAnsi="Symbol" w:hint="default"/>
      </w:rPr>
    </w:lvl>
    <w:lvl w:ilvl="7" w:tplc="3BEC2656" w:tentative="1">
      <w:start w:val="1"/>
      <w:numFmt w:val="bullet"/>
      <w:lvlText w:val="o"/>
      <w:lvlJc w:val="left"/>
      <w:pPr>
        <w:tabs>
          <w:tab w:val="num" w:pos="5760"/>
        </w:tabs>
        <w:ind w:left="5760" w:hanging="360"/>
      </w:pPr>
      <w:rPr>
        <w:rFonts w:ascii="Courier New" w:hAnsi="Courier New" w:cs="Courier New" w:hint="default"/>
      </w:rPr>
    </w:lvl>
    <w:lvl w:ilvl="8" w:tplc="33CC8676" w:tentative="1">
      <w:start w:val="1"/>
      <w:numFmt w:val="bullet"/>
      <w:lvlText w:val=""/>
      <w:lvlJc w:val="left"/>
      <w:pPr>
        <w:tabs>
          <w:tab w:val="num" w:pos="6480"/>
        </w:tabs>
        <w:ind w:left="6480" w:hanging="360"/>
      </w:pPr>
      <w:rPr>
        <w:rFonts w:ascii="Wingdings" w:hAnsi="Wingdings" w:hint="default"/>
      </w:rPr>
    </w:lvl>
  </w:abstractNum>
  <w:abstractNum w:abstractNumId="9">
    <w:nsid w:val="6B8A665F"/>
    <w:multiLevelType w:val="hybridMultilevel"/>
    <w:tmpl w:val="7512C6F0"/>
    <w:lvl w:ilvl="0" w:tplc="F8F6A2DA">
      <w:numFmt w:val="bullet"/>
      <w:lvlText w:val=""/>
      <w:lvlJc w:val="left"/>
      <w:pPr>
        <w:tabs>
          <w:tab w:val="num" w:pos="720"/>
        </w:tabs>
        <w:ind w:left="720" w:hanging="360"/>
      </w:pPr>
      <w:rPr>
        <w:rFonts w:ascii="Wingdings" w:eastAsia="Times New Roman" w:hAnsi="Wingdings" w:cs="Times New Roman" w:hint="default"/>
      </w:rPr>
    </w:lvl>
    <w:lvl w:ilvl="1" w:tplc="F304A0A2" w:tentative="1">
      <w:start w:val="1"/>
      <w:numFmt w:val="bullet"/>
      <w:lvlText w:val="o"/>
      <w:lvlJc w:val="left"/>
      <w:pPr>
        <w:tabs>
          <w:tab w:val="num" w:pos="1440"/>
        </w:tabs>
        <w:ind w:left="1440" w:hanging="360"/>
      </w:pPr>
      <w:rPr>
        <w:rFonts w:ascii="Courier New" w:hAnsi="Courier New" w:cs="Courier New" w:hint="default"/>
      </w:rPr>
    </w:lvl>
    <w:lvl w:ilvl="2" w:tplc="F9A0118A" w:tentative="1">
      <w:start w:val="1"/>
      <w:numFmt w:val="bullet"/>
      <w:lvlText w:val=""/>
      <w:lvlJc w:val="left"/>
      <w:pPr>
        <w:tabs>
          <w:tab w:val="num" w:pos="2160"/>
        </w:tabs>
        <w:ind w:left="2160" w:hanging="360"/>
      </w:pPr>
      <w:rPr>
        <w:rFonts w:ascii="Wingdings" w:hAnsi="Wingdings" w:hint="default"/>
      </w:rPr>
    </w:lvl>
    <w:lvl w:ilvl="3" w:tplc="449EEE66" w:tentative="1">
      <w:start w:val="1"/>
      <w:numFmt w:val="bullet"/>
      <w:lvlText w:val=""/>
      <w:lvlJc w:val="left"/>
      <w:pPr>
        <w:tabs>
          <w:tab w:val="num" w:pos="2880"/>
        </w:tabs>
        <w:ind w:left="2880" w:hanging="360"/>
      </w:pPr>
      <w:rPr>
        <w:rFonts w:ascii="Symbol" w:hAnsi="Symbol" w:hint="default"/>
      </w:rPr>
    </w:lvl>
    <w:lvl w:ilvl="4" w:tplc="7E3AF2DC" w:tentative="1">
      <w:start w:val="1"/>
      <w:numFmt w:val="bullet"/>
      <w:lvlText w:val="o"/>
      <w:lvlJc w:val="left"/>
      <w:pPr>
        <w:tabs>
          <w:tab w:val="num" w:pos="3600"/>
        </w:tabs>
        <w:ind w:left="3600" w:hanging="360"/>
      </w:pPr>
      <w:rPr>
        <w:rFonts w:ascii="Courier New" w:hAnsi="Courier New" w:cs="Courier New" w:hint="default"/>
      </w:rPr>
    </w:lvl>
    <w:lvl w:ilvl="5" w:tplc="74AA18F2" w:tentative="1">
      <w:start w:val="1"/>
      <w:numFmt w:val="bullet"/>
      <w:lvlText w:val=""/>
      <w:lvlJc w:val="left"/>
      <w:pPr>
        <w:tabs>
          <w:tab w:val="num" w:pos="4320"/>
        </w:tabs>
        <w:ind w:left="4320" w:hanging="360"/>
      </w:pPr>
      <w:rPr>
        <w:rFonts w:ascii="Wingdings" w:hAnsi="Wingdings" w:hint="default"/>
      </w:rPr>
    </w:lvl>
    <w:lvl w:ilvl="6" w:tplc="84F64290" w:tentative="1">
      <w:start w:val="1"/>
      <w:numFmt w:val="bullet"/>
      <w:lvlText w:val=""/>
      <w:lvlJc w:val="left"/>
      <w:pPr>
        <w:tabs>
          <w:tab w:val="num" w:pos="5040"/>
        </w:tabs>
        <w:ind w:left="5040" w:hanging="360"/>
      </w:pPr>
      <w:rPr>
        <w:rFonts w:ascii="Symbol" w:hAnsi="Symbol" w:hint="default"/>
      </w:rPr>
    </w:lvl>
    <w:lvl w:ilvl="7" w:tplc="126030D2" w:tentative="1">
      <w:start w:val="1"/>
      <w:numFmt w:val="bullet"/>
      <w:lvlText w:val="o"/>
      <w:lvlJc w:val="left"/>
      <w:pPr>
        <w:tabs>
          <w:tab w:val="num" w:pos="5760"/>
        </w:tabs>
        <w:ind w:left="5760" w:hanging="360"/>
      </w:pPr>
      <w:rPr>
        <w:rFonts w:ascii="Courier New" w:hAnsi="Courier New" w:cs="Courier New" w:hint="default"/>
      </w:rPr>
    </w:lvl>
    <w:lvl w:ilvl="8" w:tplc="68BC7554" w:tentative="1">
      <w:start w:val="1"/>
      <w:numFmt w:val="bullet"/>
      <w:lvlText w:val=""/>
      <w:lvlJc w:val="left"/>
      <w:pPr>
        <w:tabs>
          <w:tab w:val="num" w:pos="6480"/>
        </w:tabs>
        <w:ind w:left="6480" w:hanging="360"/>
      </w:pPr>
      <w:rPr>
        <w:rFonts w:ascii="Wingdings" w:hAnsi="Wingdings" w:hint="default"/>
      </w:rPr>
    </w:lvl>
  </w:abstractNum>
  <w:abstractNum w:abstractNumId="10">
    <w:nsid w:val="703573EA"/>
    <w:multiLevelType w:val="hybridMultilevel"/>
    <w:tmpl w:val="3D846A62"/>
    <w:lvl w:ilvl="0" w:tplc="E722B624">
      <w:numFmt w:val="bullet"/>
      <w:lvlText w:val="·"/>
      <w:lvlJc w:val="left"/>
      <w:pPr>
        <w:ind w:left="570" w:hanging="57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685306D"/>
    <w:multiLevelType w:val="hybridMultilevel"/>
    <w:tmpl w:val="C21C4876"/>
    <w:lvl w:ilvl="0" w:tplc="E5242788">
      <w:start w:val="1"/>
      <w:numFmt w:val="decimal"/>
      <w:lvlText w:val="%1."/>
      <w:lvlJc w:val="left"/>
      <w:pPr>
        <w:tabs>
          <w:tab w:val="num" w:pos="720"/>
        </w:tabs>
        <w:ind w:left="720" w:hanging="360"/>
      </w:pPr>
    </w:lvl>
    <w:lvl w:ilvl="1" w:tplc="E8D49E3C" w:tentative="1">
      <w:start w:val="1"/>
      <w:numFmt w:val="lowerLetter"/>
      <w:lvlText w:val="%2."/>
      <w:lvlJc w:val="left"/>
      <w:pPr>
        <w:tabs>
          <w:tab w:val="num" w:pos="1440"/>
        </w:tabs>
        <w:ind w:left="1440" w:hanging="360"/>
      </w:pPr>
    </w:lvl>
    <w:lvl w:ilvl="2" w:tplc="1146F52A" w:tentative="1">
      <w:start w:val="1"/>
      <w:numFmt w:val="lowerRoman"/>
      <w:lvlText w:val="%3."/>
      <w:lvlJc w:val="right"/>
      <w:pPr>
        <w:tabs>
          <w:tab w:val="num" w:pos="2160"/>
        </w:tabs>
        <w:ind w:left="2160" w:hanging="180"/>
      </w:pPr>
    </w:lvl>
    <w:lvl w:ilvl="3" w:tplc="0406C74E" w:tentative="1">
      <w:start w:val="1"/>
      <w:numFmt w:val="decimal"/>
      <w:lvlText w:val="%4."/>
      <w:lvlJc w:val="left"/>
      <w:pPr>
        <w:tabs>
          <w:tab w:val="num" w:pos="2880"/>
        </w:tabs>
        <w:ind w:left="2880" w:hanging="360"/>
      </w:pPr>
    </w:lvl>
    <w:lvl w:ilvl="4" w:tplc="A6E4EB32" w:tentative="1">
      <w:start w:val="1"/>
      <w:numFmt w:val="lowerLetter"/>
      <w:lvlText w:val="%5."/>
      <w:lvlJc w:val="left"/>
      <w:pPr>
        <w:tabs>
          <w:tab w:val="num" w:pos="3600"/>
        </w:tabs>
        <w:ind w:left="3600" w:hanging="360"/>
      </w:pPr>
    </w:lvl>
    <w:lvl w:ilvl="5" w:tplc="7B7845A4" w:tentative="1">
      <w:start w:val="1"/>
      <w:numFmt w:val="lowerRoman"/>
      <w:lvlText w:val="%6."/>
      <w:lvlJc w:val="right"/>
      <w:pPr>
        <w:tabs>
          <w:tab w:val="num" w:pos="4320"/>
        </w:tabs>
        <w:ind w:left="4320" w:hanging="180"/>
      </w:pPr>
    </w:lvl>
    <w:lvl w:ilvl="6" w:tplc="02549102" w:tentative="1">
      <w:start w:val="1"/>
      <w:numFmt w:val="decimal"/>
      <w:lvlText w:val="%7."/>
      <w:lvlJc w:val="left"/>
      <w:pPr>
        <w:tabs>
          <w:tab w:val="num" w:pos="5040"/>
        </w:tabs>
        <w:ind w:left="5040" w:hanging="360"/>
      </w:pPr>
    </w:lvl>
    <w:lvl w:ilvl="7" w:tplc="5C28DD60" w:tentative="1">
      <w:start w:val="1"/>
      <w:numFmt w:val="lowerLetter"/>
      <w:lvlText w:val="%8."/>
      <w:lvlJc w:val="left"/>
      <w:pPr>
        <w:tabs>
          <w:tab w:val="num" w:pos="5760"/>
        </w:tabs>
        <w:ind w:left="5760" w:hanging="360"/>
      </w:pPr>
    </w:lvl>
    <w:lvl w:ilvl="8" w:tplc="4AFADC92" w:tentative="1">
      <w:start w:val="1"/>
      <w:numFmt w:val="lowerRoman"/>
      <w:lvlText w:val="%9."/>
      <w:lvlJc w:val="right"/>
      <w:pPr>
        <w:tabs>
          <w:tab w:val="num" w:pos="6480"/>
        </w:tabs>
        <w:ind w:left="6480" w:hanging="180"/>
      </w:pPr>
    </w:lvl>
  </w:abstractNum>
  <w:abstractNum w:abstractNumId="12">
    <w:nsid w:val="7D1C7131"/>
    <w:multiLevelType w:val="hybridMultilevel"/>
    <w:tmpl w:val="077EE62A"/>
    <w:lvl w:ilvl="0" w:tplc="E6AAADF2">
      <w:numFmt w:val="bullet"/>
      <w:lvlText w:val="•"/>
      <w:lvlJc w:val="left"/>
      <w:pPr>
        <w:ind w:left="914" w:hanging="630"/>
      </w:pPr>
      <w:rPr>
        <w:rFonts w:ascii="Arial" w:eastAsia="Times New Roman" w:hAnsi="Arial" w:cs="Aria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9"/>
  </w:num>
  <w:num w:numId="6">
    <w:abstractNumId w:val="8"/>
  </w:num>
  <w:num w:numId="7">
    <w:abstractNumId w:val="7"/>
  </w:num>
  <w:num w:numId="8">
    <w:abstractNumId w:val="12"/>
  </w:num>
  <w:num w:numId="9">
    <w:abstractNumId w:val="0"/>
  </w:num>
  <w:num w:numId="10">
    <w:abstractNumId w:val="6"/>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6385">
      <o:colormru v:ext="edit" colors="black,#c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79"/>
    <w:rsid w:val="00034C7D"/>
    <w:rsid w:val="000A729B"/>
    <w:rsid w:val="0010710F"/>
    <w:rsid w:val="00136A3F"/>
    <w:rsid w:val="0015796D"/>
    <w:rsid w:val="0019414C"/>
    <w:rsid w:val="001B0EAA"/>
    <w:rsid w:val="001F5E48"/>
    <w:rsid w:val="002171E9"/>
    <w:rsid w:val="00251F23"/>
    <w:rsid w:val="0029229C"/>
    <w:rsid w:val="002B73D4"/>
    <w:rsid w:val="002C4628"/>
    <w:rsid w:val="002D63F1"/>
    <w:rsid w:val="00380818"/>
    <w:rsid w:val="003B4352"/>
    <w:rsid w:val="003F1515"/>
    <w:rsid w:val="004236B0"/>
    <w:rsid w:val="00581CEE"/>
    <w:rsid w:val="005917CA"/>
    <w:rsid w:val="005B7356"/>
    <w:rsid w:val="006105FC"/>
    <w:rsid w:val="00620011"/>
    <w:rsid w:val="0067615B"/>
    <w:rsid w:val="006D72C7"/>
    <w:rsid w:val="006E2A06"/>
    <w:rsid w:val="00797084"/>
    <w:rsid w:val="007C2CB3"/>
    <w:rsid w:val="00844775"/>
    <w:rsid w:val="00845348"/>
    <w:rsid w:val="008713BB"/>
    <w:rsid w:val="00894B36"/>
    <w:rsid w:val="008E794A"/>
    <w:rsid w:val="008F1B9E"/>
    <w:rsid w:val="00924CB2"/>
    <w:rsid w:val="00973237"/>
    <w:rsid w:val="00A12797"/>
    <w:rsid w:val="00A3123F"/>
    <w:rsid w:val="00A57EC9"/>
    <w:rsid w:val="00A856B2"/>
    <w:rsid w:val="00A97CD4"/>
    <w:rsid w:val="00AA38B4"/>
    <w:rsid w:val="00AC5065"/>
    <w:rsid w:val="00AD5126"/>
    <w:rsid w:val="00B022C8"/>
    <w:rsid w:val="00B2397D"/>
    <w:rsid w:val="00B76EAC"/>
    <w:rsid w:val="00B80BC0"/>
    <w:rsid w:val="00B94344"/>
    <w:rsid w:val="00BE1931"/>
    <w:rsid w:val="00C15D67"/>
    <w:rsid w:val="00C5347E"/>
    <w:rsid w:val="00C634D2"/>
    <w:rsid w:val="00C65E0F"/>
    <w:rsid w:val="00C80355"/>
    <w:rsid w:val="00C933A6"/>
    <w:rsid w:val="00D22548"/>
    <w:rsid w:val="00D44EC2"/>
    <w:rsid w:val="00DB2AB5"/>
    <w:rsid w:val="00DB2EAB"/>
    <w:rsid w:val="00DD5091"/>
    <w:rsid w:val="00E62B4E"/>
    <w:rsid w:val="00E81446"/>
    <w:rsid w:val="00EF045B"/>
    <w:rsid w:val="00F76179"/>
    <w:rsid w:val="00FD1ACF"/>
    <w:rsid w:val="00FF5323"/>
    <w:rsid w:val="00FF60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black,#ccc"/>
    </o:shapedefaults>
    <o:shapelayout v:ext="edit">
      <o:idmap v:ext="edit" data="1"/>
    </o:shapelayout>
  </w:shapeDefaults>
  <w:decimalSymbol w:val=","/>
  <w:listSeparator w:val=";"/>
  <w14:docId w14:val="456F81E4"/>
  <w15:docId w15:val="{188CBC0A-E9DA-46D4-9E85-F4F6971B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1557"/>
    <w:rPr>
      <w:rFonts w:ascii="Arial" w:hAnsi="Arial"/>
      <w:sz w:val="22"/>
      <w:szCs w:val="24"/>
      <w:lang w:val="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8217D"/>
    <w:pPr>
      <w:tabs>
        <w:tab w:val="center" w:pos="4536"/>
        <w:tab w:val="right" w:pos="9072"/>
      </w:tabs>
    </w:pPr>
  </w:style>
  <w:style w:type="paragraph" w:styleId="Fuzeile">
    <w:name w:val="footer"/>
    <w:basedOn w:val="Standard"/>
    <w:rsid w:val="008865D9"/>
    <w:pPr>
      <w:tabs>
        <w:tab w:val="center" w:pos="4536"/>
        <w:tab w:val="right" w:pos="9072"/>
      </w:tabs>
    </w:pPr>
    <w:rPr>
      <w:rFonts w:ascii="Arial Narrow" w:hAnsi="Arial Narrow"/>
      <w:sz w:val="17"/>
      <w:szCs w:val="17"/>
    </w:rPr>
  </w:style>
  <w:style w:type="table" w:styleId="Tabellenraster">
    <w:name w:val="Table Grid"/>
    <w:basedOn w:val="NormaleTabelle"/>
    <w:rsid w:val="00982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stemIntern">
    <w:name w:val="SystemIntern"/>
    <w:basedOn w:val="Standard"/>
    <w:next w:val="Standard"/>
    <w:rsid w:val="002B1A1C"/>
    <w:rPr>
      <w:rFonts w:ascii="Arial Narrow" w:hAnsi="Arial Narrow"/>
      <w:sz w:val="16"/>
    </w:rPr>
  </w:style>
  <w:style w:type="character" w:styleId="Seitenzahl">
    <w:name w:val="page number"/>
    <w:basedOn w:val="Absatz-Standardschriftart"/>
    <w:rsid w:val="00BB402D"/>
  </w:style>
  <w:style w:type="paragraph" w:styleId="StandardWeb">
    <w:name w:val="Normal (Web)"/>
    <w:basedOn w:val="Standard"/>
    <w:rsid w:val="00F97471"/>
    <w:pPr>
      <w:spacing w:before="100" w:beforeAutospacing="1" w:after="100" w:afterAutospacing="1"/>
    </w:pPr>
    <w:rPr>
      <w:rFonts w:ascii="Times New Roman" w:hAnsi="Times New Roman"/>
      <w:sz w:val="24"/>
    </w:rPr>
  </w:style>
  <w:style w:type="paragraph" w:styleId="Sprechblasentext">
    <w:name w:val="Balloon Text"/>
    <w:basedOn w:val="Standard"/>
    <w:semiHidden/>
    <w:rsid w:val="001B5742"/>
    <w:rPr>
      <w:rFonts w:ascii="Tahoma" w:hAnsi="Tahoma" w:cs="Tahoma"/>
      <w:sz w:val="16"/>
      <w:szCs w:val="16"/>
    </w:rPr>
  </w:style>
  <w:style w:type="character" w:styleId="Hyperlink">
    <w:name w:val="Hyperlink"/>
    <w:uiPriority w:val="99"/>
    <w:unhideWhenUsed/>
    <w:rsid w:val="007C2CB3"/>
    <w:rPr>
      <w:color w:val="0563C1"/>
      <w:u w:val="single"/>
    </w:rPr>
  </w:style>
  <w:style w:type="character" w:customStyle="1" w:styleId="hps">
    <w:name w:val="hps"/>
    <w:basedOn w:val="Absatz-Standardschriftart"/>
    <w:rsid w:val="006E2A06"/>
  </w:style>
  <w:style w:type="paragraph" w:styleId="Listenabsatz">
    <w:name w:val="List Paragraph"/>
    <w:basedOn w:val="Standard"/>
    <w:uiPriority w:val="34"/>
    <w:qFormat/>
    <w:rsid w:val="00BE1931"/>
    <w:pPr>
      <w:widowControl w:val="0"/>
      <w:ind w:left="720"/>
      <w:contextualSpacing/>
    </w:pPr>
    <w:rPr>
      <w:rFonts w:ascii="ESRI Transportation &amp; Civic" w:hAnsi="ESRI Transportation &amp; Civic"/>
      <w:snapToGrid w:val="0"/>
      <w:sz w:val="24"/>
      <w:szCs w:val="20"/>
      <w:lang w:val="en-US" w:eastAsia="de-DE"/>
    </w:rPr>
  </w:style>
  <w:style w:type="character" w:styleId="Kommentarzeichen">
    <w:name w:val="annotation reference"/>
    <w:basedOn w:val="Absatz-Standardschriftart"/>
    <w:uiPriority w:val="99"/>
    <w:semiHidden/>
    <w:unhideWhenUsed/>
    <w:rsid w:val="00AD5126"/>
    <w:rPr>
      <w:sz w:val="16"/>
      <w:szCs w:val="16"/>
    </w:rPr>
  </w:style>
  <w:style w:type="paragraph" w:styleId="Kommentartext">
    <w:name w:val="annotation text"/>
    <w:basedOn w:val="Standard"/>
    <w:link w:val="KommentartextZchn"/>
    <w:uiPriority w:val="99"/>
    <w:semiHidden/>
    <w:unhideWhenUsed/>
    <w:rsid w:val="00AD5126"/>
    <w:rPr>
      <w:sz w:val="20"/>
      <w:szCs w:val="20"/>
    </w:rPr>
  </w:style>
  <w:style w:type="character" w:customStyle="1" w:styleId="KommentartextZchn">
    <w:name w:val="Kommentartext Zchn"/>
    <w:basedOn w:val="Absatz-Standardschriftart"/>
    <w:link w:val="Kommentartext"/>
    <w:uiPriority w:val="99"/>
    <w:semiHidden/>
    <w:rsid w:val="00AD5126"/>
    <w:rPr>
      <w:rFonts w:ascii="Arial" w:hAnsi="Arial"/>
      <w:lang w:val="cs-CZ"/>
    </w:rPr>
  </w:style>
  <w:style w:type="paragraph" w:styleId="Kommentarthema">
    <w:name w:val="annotation subject"/>
    <w:basedOn w:val="Kommentartext"/>
    <w:next w:val="Kommentartext"/>
    <w:link w:val="KommentarthemaZchn"/>
    <w:uiPriority w:val="99"/>
    <w:semiHidden/>
    <w:unhideWhenUsed/>
    <w:rsid w:val="00AD5126"/>
    <w:rPr>
      <w:b/>
      <w:bCs/>
    </w:rPr>
  </w:style>
  <w:style w:type="character" w:customStyle="1" w:styleId="KommentarthemaZchn">
    <w:name w:val="Kommentarthema Zchn"/>
    <w:basedOn w:val="KommentartextZchn"/>
    <w:link w:val="Kommentarthema"/>
    <w:uiPriority w:val="99"/>
    <w:semiHidden/>
    <w:rsid w:val="00AD5126"/>
    <w:rPr>
      <w:rFonts w:ascii="Arial" w:hAnsi="Arial"/>
      <w:b/>
      <w:bCs/>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776239">
      <w:bodyDiv w:val="1"/>
      <w:marLeft w:val="0"/>
      <w:marRight w:val="0"/>
      <w:marTop w:val="0"/>
      <w:marBottom w:val="0"/>
      <w:divBdr>
        <w:top w:val="none" w:sz="0" w:space="0" w:color="auto"/>
        <w:left w:val="none" w:sz="0" w:space="0" w:color="auto"/>
        <w:bottom w:val="none" w:sz="0" w:space="0" w:color="auto"/>
        <w:right w:val="none" w:sz="0" w:space="0" w:color="auto"/>
      </w:divBdr>
    </w:div>
    <w:div w:id="170382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uropeanregion-danube-vltava.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ec.europa.eu/regional_policy/what/future/index_en.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WORD03\BAUSTEIN\Standard\Kop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5966F208F57A146BE392054BD8BED51" ma:contentTypeVersion="" ma:contentTypeDescription="Ein neues Dokument erstellen." ma:contentTypeScope="" ma:versionID="44be1e26f915a51428c4b6f8c3db80af">
  <xsd:schema xmlns:xsd="http://www.w3.org/2001/XMLSchema" xmlns:xs="http://www.w3.org/2001/XMLSchema" xmlns:p="http://schemas.microsoft.com/office/2006/metadata/properties" targetNamespace="http://schemas.microsoft.com/office/2006/metadata/properties" ma:root="true" ma:fieldsID="704988e50240327f3f6df7c3958779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8A5B0-034C-46D2-AF20-92058D755095}">
  <ds:schemaRefs>
    <ds:schemaRef ds:uri="http://schemas.microsoft.com/sharepoint/v3/contenttype/forms"/>
  </ds:schemaRefs>
</ds:datastoreItem>
</file>

<file path=customXml/itemProps2.xml><?xml version="1.0" encoding="utf-8"?>
<ds:datastoreItem xmlns:ds="http://schemas.openxmlformats.org/officeDocument/2006/customXml" ds:itemID="{B3DC6F57-8C2D-4F3D-BDFE-95CF9DABE85F}">
  <ds:schemaRef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08E05978-D37B-480F-B4B5-9B8A3361C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Kopf.dot</Template>
  <TotalTime>0</TotalTime>
  <Pages>3</Pages>
  <Words>972</Words>
  <Characters>6129</Characters>
  <Application>Microsoft Office Word</Application>
  <DocSecurity>0</DocSecurity>
  <Lines>51</Lines>
  <Paragraphs>14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Geschäftszeichen:</vt:lpstr>
      <vt:lpstr>Geschäftszeichen:</vt:lpstr>
    </vt:vector>
  </TitlesOfParts>
  <Company>Amt der Oberösterreichischen Landesregierung</Company>
  <LinksUpToDate>false</LinksUpToDate>
  <CharactersWithSpaces>7087</CharactersWithSpaces>
  <SharedDoc>false</SharedDoc>
  <HLinks>
    <vt:vector size="18" baseType="variant">
      <vt:variant>
        <vt:i4>5701668</vt:i4>
      </vt:variant>
      <vt:variant>
        <vt:i4>6</vt:i4>
      </vt:variant>
      <vt:variant>
        <vt:i4>0</vt:i4>
      </vt:variant>
      <vt:variant>
        <vt:i4>5</vt:i4>
      </vt:variant>
      <vt:variant>
        <vt:lpwstr>mailto:iris.reingruber@tmg.at</vt:lpwstr>
      </vt:variant>
      <vt:variant>
        <vt:lpwstr/>
      </vt:variant>
      <vt:variant>
        <vt:i4>2359407</vt:i4>
      </vt:variant>
      <vt:variant>
        <vt:i4>3</vt:i4>
      </vt:variant>
      <vt:variant>
        <vt:i4>0</vt:i4>
      </vt:variant>
      <vt:variant>
        <vt:i4>5</vt:i4>
      </vt:variant>
      <vt:variant>
        <vt:lpwstr>http://www.europeanregion-danube-vltava.eu/</vt:lpwstr>
      </vt:variant>
      <vt:variant>
        <vt:lpwstr/>
      </vt:variant>
      <vt:variant>
        <vt:i4>6815832</vt:i4>
      </vt:variant>
      <vt:variant>
        <vt:i4>0</vt:i4>
      </vt:variant>
      <vt:variant>
        <vt:i4>0</vt:i4>
      </vt:variant>
      <vt:variant>
        <vt:i4>5</vt:i4>
      </vt:variant>
      <vt:variant>
        <vt:lpwstr>http://ec.europa.eu/regional_policy/what/future/index_en.cfm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Geschäftszeichen:</dc:title>
  <dc:creator>bars1g</dc:creator>
  <cp:lastModifiedBy>Reingruber Iris</cp:lastModifiedBy>
  <cp:revision>3</cp:revision>
  <cp:lastPrinted>2014-10-14T05:47:00Z</cp:lastPrinted>
  <dcterms:created xsi:type="dcterms:W3CDTF">2014-11-28T09:08:00Z</dcterms:created>
  <dcterms:modified xsi:type="dcterms:W3CDTF">2014-11-28T09:13:00Z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0x01010075966F208F57A146BE392054BD8BED51</vt:lpwstr>
  </property>
</Properties>
</file>